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005F80B0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A5A15">
              <w:rPr>
                <w:b/>
                <w:sz w:val="28"/>
                <w:szCs w:val="28"/>
              </w:rPr>
              <w:t xml:space="preserve"> </w:t>
            </w:r>
            <w:r w:rsidR="00B87D52">
              <w:rPr>
                <w:b/>
                <w:sz w:val="28"/>
                <w:szCs w:val="28"/>
              </w:rPr>
              <w:t>Tételmondatok</w:t>
            </w:r>
          </w:p>
        </w:tc>
        <w:tc>
          <w:tcPr>
            <w:tcW w:w="2835" w:type="dxa"/>
          </w:tcPr>
          <w:p w14:paraId="15C30ED7" w14:textId="07CC2316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B87D52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7B8BBE64" w:rsidR="00820B9D" w:rsidRPr="00A07B03" w:rsidRDefault="00FF13B4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B87D52">
                  <w:rPr>
                    <w:szCs w:val="24"/>
                  </w:rPr>
                  <w:t>Szerző(k):</w:t>
                </w:r>
              </w:sdtContent>
            </w:sdt>
            <w:r w:rsidR="00A437F1">
              <w:rPr>
                <w:szCs w:val="24"/>
              </w:rPr>
              <w:t xml:space="preserve"> </w:t>
            </w:r>
            <w:r w:rsidR="00B87D52">
              <w:rPr>
                <w:szCs w:val="24"/>
              </w:rPr>
              <w:t>Dr. Farkas László</w:t>
            </w:r>
          </w:p>
          <w:p w14:paraId="784BF365" w14:textId="19B67068" w:rsidR="00820B9D" w:rsidRDefault="00FF13B4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>Jelöld be a szerkesztő(k)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04B4374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2411E9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4198AC6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  <w:r w:rsidR="00B87D52">
              <w:rPr>
                <w:szCs w:val="24"/>
              </w:rPr>
              <w:t>Hiszekegy</w:t>
            </w:r>
          </w:p>
        </w:tc>
        <w:tc>
          <w:tcPr>
            <w:tcW w:w="5954" w:type="dxa"/>
            <w:gridSpan w:val="2"/>
          </w:tcPr>
          <w:p w14:paraId="1924A557" w14:textId="42EDB076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A437F1">
              <w:rPr>
                <w:szCs w:val="24"/>
              </w:rPr>
              <w:t xml:space="preserve"> </w:t>
            </w:r>
            <w:r w:rsidR="00B87D52">
              <w:rPr>
                <w:szCs w:val="24"/>
              </w:rPr>
              <w:t>Hiszek Jézus Krisztusban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44B5373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B62374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44CF69C5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B87D52">
              <w:rPr>
                <w:szCs w:val="24"/>
              </w:rPr>
              <w:t xml:space="preserve"> 2013.03.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180DDFB7" w:rsidR="009C1D07" w:rsidRDefault="008C4AE0" w:rsidP="009C1D07">
      <w:pPr>
        <w:rPr>
          <w:szCs w:val="24"/>
        </w:rPr>
      </w:pPr>
      <w:r>
        <w:rPr>
          <w:szCs w:val="24"/>
        </w:rPr>
        <w:t>2013_03_hiszek_Jezus_Krisztusban_foeloadas_ossz_talalkozo</w:t>
      </w:r>
      <w:bookmarkStart w:id="0" w:name="_GoBack"/>
      <w:bookmarkEnd w:id="0"/>
    </w:p>
    <w:p w14:paraId="710D29EB" w14:textId="77777777" w:rsidR="00A93E24" w:rsidRDefault="00B66586" w:rsidP="00A93E24">
      <w:pPr>
        <w:pStyle w:val="kincstrcmsor"/>
      </w:pPr>
      <w:r>
        <w:t>Törzsanyag</w:t>
      </w:r>
      <w:r w:rsidR="00A93E24">
        <w:t>:</w:t>
      </w:r>
    </w:p>
    <w:p w14:paraId="7D035C8F" w14:textId="77777777" w:rsidR="00B87D52" w:rsidRDefault="00B87D52" w:rsidP="00B87D52">
      <w:pPr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221B3BB9" w14:textId="77777777" w:rsidR="00B87D52" w:rsidRDefault="00B87D52" w:rsidP="00B87D52">
      <w:pPr>
        <w:jc w:val="center"/>
        <w:rPr>
          <w:i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TÉTELMONDATOK – Hiszek Jézus Krisztusban</w:t>
      </w:r>
    </w:p>
    <w:p w14:paraId="09CEDED5" w14:textId="77777777" w:rsidR="00B87D52" w:rsidRDefault="00B87D52" w:rsidP="00B87D52">
      <w:pPr>
        <w:jc w:val="center"/>
        <w:rPr>
          <w:i/>
          <w:szCs w:val="24"/>
        </w:rPr>
      </w:pPr>
      <w:r>
        <w:rPr>
          <w:i/>
          <w:szCs w:val="24"/>
        </w:rPr>
        <w:t>Írta</w:t>
      </w:r>
      <w:r w:rsidRPr="002A1A64">
        <w:rPr>
          <w:i/>
          <w:szCs w:val="24"/>
        </w:rPr>
        <w:t xml:space="preserve"> az Úr 2013. évében Dr. Farkas László atya</w:t>
      </w:r>
      <w:r>
        <w:rPr>
          <w:i/>
          <w:szCs w:val="24"/>
        </w:rPr>
        <w:t xml:space="preserve"> a Hiszek Jézus Krisztusban című előadás összefoglalásaként</w:t>
      </w:r>
    </w:p>
    <w:p w14:paraId="604754D0" w14:textId="77777777" w:rsidR="00B87D52" w:rsidRPr="002A1A64" w:rsidRDefault="00B87D52" w:rsidP="00B87D52">
      <w:pPr>
        <w:jc w:val="center"/>
        <w:rPr>
          <w:i/>
          <w:szCs w:val="24"/>
        </w:rPr>
      </w:pPr>
    </w:p>
    <w:p w14:paraId="2B8D9BB0" w14:textId="77777777" w:rsidR="00B87D52" w:rsidRPr="00267A2F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FF"/>
          <w:szCs w:val="24"/>
          <w:u w:val="single"/>
        </w:rPr>
      </w:pPr>
      <w:r w:rsidRPr="00267A2F">
        <w:rPr>
          <w:rFonts w:ascii="Times New Roman" w:eastAsia="Times New Roman" w:hAnsi="Times New Roman"/>
          <w:szCs w:val="24"/>
        </w:rPr>
        <w:t xml:space="preserve">KEK 466: A nesztoriánus eretnekséggel szemben az Efezusi Zsinat 431-ben megvallotta, hogy "az Ige, személye szerint (hüposztaszisz szerint) egyesítvén magával az értelmes lélektől átlelkesített testet (...), emberré lett". </w:t>
      </w:r>
      <w:hyperlink r:id="rId8" w:anchor="J91" w:history="1">
        <w:r w:rsidRPr="00267A2F">
          <w:rPr>
            <w:rFonts w:ascii="Times New Roman" w:eastAsia="Times New Roman" w:hAnsi="Times New Roman"/>
            <w:color w:val="0000FF"/>
            <w:szCs w:val="24"/>
            <w:u w:val="single"/>
          </w:rPr>
          <w:t>[91]</w:t>
        </w:r>
        <w:r w:rsidRPr="006C1C04">
          <w:rPr>
            <w:rStyle w:val="Lbjegyzet-hivatkozs"/>
            <w:rFonts w:ascii="Times New Roman" w:eastAsia="Times New Roman" w:hAnsi="Times New Roman"/>
            <w:color w:val="0000FF"/>
            <w:szCs w:val="24"/>
            <w:u w:val="single"/>
          </w:rPr>
          <w:footnoteReference w:id="1"/>
        </w:r>
        <w:r w:rsidRPr="00267A2F">
          <w:rPr>
            <w:rFonts w:ascii="Times New Roman" w:eastAsia="Times New Roman" w:hAnsi="Times New Roman"/>
            <w:color w:val="0000FF"/>
            <w:szCs w:val="24"/>
            <w:u w:val="single"/>
          </w:rPr>
          <w:t xml:space="preserve"> </w:t>
        </w:r>
      </w:hyperlink>
      <w:r w:rsidRPr="00267A2F">
        <w:rPr>
          <w:rFonts w:ascii="Times New Roman" w:eastAsia="Times New Roman" w:hAnsi="Times New Roman"/>
          <w:b/>
          <w:szCs w:val="24"/>
        </w:rPr>
        <w:t>Krisztus emberségének nincs más alanya, mint Isten Fiának isteni személye</w:t>
      </w:r>
      <w:r w:rsidRPr="00267A2F">
        <w:rPr>
          <w:rFonts w:ascii="Times New Roman" w:eastAsia="Times New Roman" w:hAnsi="Times New Roman"/>
          <w:szCs w:val="24"/>
        </w:rPr>
        <w:t xml:space="preserve">, mely fölvette azt, és magáévá tette fogantatása pillanatában. Ezért az Efezusi Zsinat 431-ben kihirdette, hogy Isten Fiának Mária méhében történt emberi fogantatása által Mária "Istenszülő (...), nem azért, mintha az Ige természete vagy istensége eredetének elvét a szent Szűztől vette volna, hanem mert azt a szent és értelmes lélektől áthatott testet vette tőle magára, mellyel az Isten Igéje is személye szerint egyesült, és ezért mondjuk, hogy test szerint született". </w:t>
      </w:r>
      <w:r w:rsidRPr="00267A2F">
        <w:rPr>
          <w:rFonts w:ascii="Times New Roman" w:eastAsia="Times New Roman" w:hAnsi="Times New Roman"/>
          <w:color w:val="0000FF"/>
          <w:szCs w:val="24"/>
          <w:u w:val="single"/>
        </w:rPr>
        <w:t>[92]</w:t>
      </w:r>
      <w:r w:rsidRPr="006C1C04">
        <w:rPr>
          <w:rStyle w:val="Lbjegyzet-hivatkozs"/>
          <w:rFonts w:ascii="Times New Roman" w:eastAsia="Times New Roman" w:hAnsi="Times New Roman"/>
          <w:color w:val="0000FF"/>
          <w:szCs w:val="24"/>
          <w:u w:val="single"/>
        </w:rPr>
        <w:footnoteReference w:id="2"/>
      </w:r>
    </w:p>
    <w:p w14:paraId="729A6688" w14:textId="77777777" w:rsidR="00B87D52" w:rsidRPr="00267A2F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Az ember és az állatok</w:t>
      </w:r>
      <w:r w:rsidRPr="00267A2F">
        <w:rPr>
          <w:rFonts w:ascii="Times New Roman" w:eastAsia="Times New Roman" w:hAnsi="Times New Roman"/>
          <w:b/>
          <w:bCs/>
          <w:szCs w:val="24"/>
        </w:rPr>
        <w:t xml:space="preserve"> közti döntő különbség</w:t>
      </w:r>
      <w:r w:rsidRPr="00267A2F">
        <w:rPr>
          <w:rFonts w:ascii="Times New Roman" w:eastAsia="Times New Roman" w:hAnsi="Times New Roman"/>
          <w:bCs/>
          <w:szCs w:val="24"/>
        </w:rPr>
        <w:t>, hogy az állatoknak nincs a természetüktől különböző énjük, vagyis nincs személyük. A személyemet megkülönböztetem a természetemtől, testemtől, lelkemtől, gondolataimtól, az állat erre nem képes, azt teljesen a természete, ösztönei irányítják, s nem a személye, mert az állatoknak olyan nincs. Az emberi személy viszont képes a természete ellenére cselekedni, ösztöneit irányítani.</w:t>
      </w:r>
    </w:p>
    <w:p w14:paraId="285C6712" w14:textId="77777777" w:rsidR="00B87D52" w:rsidRPr="00267A2F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Cs w:val="24"/>
        </w:rPr>
      </w:pPr>
      <w:r w:rsidRPr="00267A2F">
        <w:rPr>
          <w:rFonts w:ascii="Times New Roman" w:eastAsia="Times New Roman" w:hAnsi="Times New Roman"/>
          <w:b/>
          <w:bCs/>
          <w:szCs w:val="24"/>
        </w:rPr>
        <w:t>A személy</w:t>
      </w:r>
      <w:r w:rsidRPr="00267A2F">
        <w:rPr>
          <w:rFonts w:ascii="Times New Roman" w:eastAsia="Times New Roman" w:hAnsi="Times New Roman"/>
          <w:bCs/>
          <w:szCs w:val="24"/>
        </w:rPr>
        <w:t xml:space="preserve"> </w:t>
      </w:r>
      <w:r w:rsidRPr="00267A2F">
        <w:rPr>
          <w:rFonts w:ascii="Times New Roman" w:eastAsia="Times New Roman" w:hAnsi="Times New Roman"/>
          <w:b/>
          <w:bCs/>
          <w:szCs w:val="24"/>
        </w:rPr>
        <w:t>1. irányító-központ</w:t>
      </w:r>
      <w:r w:rsidRPr="00267A2F">
        <w:rPr>
          <w:rFonts w:ascii="Times New Roman" w:eastAsia="Times New Roman" w:hAnsi="Times New Roman"/>
          <w:bCs/>
          <w:szCs w:val="24"/>
        </w:rPr>
        <w:t xml:space="preserve">: mert amit értékel, annak megszerzésére vagy átélésére indítja a természetet. Pl. irányítja a mozgást a kívánt dolgok elvégzésének irányába, tereli a gondolatokat vagy érzéseket a nem kívántról a kívánt témára stb. A személy </w:t>
      </w:r>
      <w:r w:rsidRPr="00267A2F">
        <w:rPr>
          <w:rFonts w:ascii="Times New Roman" w:eastAsia="Times New Roman" w:hAnsi="Times New Roman"/>
          <w:b/>
          <w:bCs/>
          <w:szCs w:val="24"/>
        </w:rPr>
        <w:t>2. birtokos központ</w:t>
      </w:r>
      <w:r w:rsidRPr="00267A2F">
        <w:rPr>
          <w:rFonts w:ascii="Times New Roman" w:eastAsia="Times New Roman" w:hAnsi="Times New Roman"/>
          <w:bCs/>
          <w:szCs w:val="24"/>
        </w:rPr>
        <w:t xml:space="preserve">: birtokolja természetét (pl. ez az én testem). </w:t>
      </w:r>
      <w:r w:rsidRPr="00267A2F">
        <w:rPr>
          <w:rFonts w:ascii="Times New Roman" w:eastAsia="Times New Roman" w:hAnsi="Times New Roman"/>
          <w:b/>
          <w:bCs/>
          <w:szCs w:val="24"/>
        </w:rPr>
        <w:t>3. egységesítő központ:</w:t>
      </w:r>
      <w:r w:rsidRPr="00267A2F">
        <w:rPr>
          <w:rFonts w:ascii="Times New Roman" w:eastAsia="Times New Roman" w:hAnsi="Times New Roman"/>
          <w:bCs/>
          <w:szCs w:val="24"/>
        </w:rPr>
        <w:t xml:space="preserve"> személyi egységbe foglalja természetét, s végül </w:t>
      </w:r>
      <w:r w:rsidRPr="00267A2F">
        <w:rPr>
          <w:rFonts w:ascii="Times New Roman" w:eastAsia="Times New Roman" w:hAnsi="Times New Roman"/>
          <w:b/>
          <w:bCs/>
          <w:szCs w:val="24"/>
        </w:rPr>
        <w:t>4. elkülönítő központ:</w:t>
      </w:r>
      <w:r w:rsidRPr="00267A2F">
        <w:rPr>
          <w:rFonts w:ascii="Times New Roman" w:eastAsia="Times New Roman" w:hAnsi="Times New Roman"/>
          <w:bCs/>
          <w:szCs w:val="24"/>
        </w:rPr>
        <w:t xml:space="preserve"> megkülönbözteti magát, s a rajta kívül állók másságát észleli. A személyi funkciók tudatossági foka fejlődhet, hiszen a csecsemő pl. még nem nagyon különbözteti meg magát az anyukájától, az én-határok valamelyest egybemosódnak, mégis teljes értékű és méltóságú személyről van szó. Éppígy egy szellemi fogyatékkal élő esetén. Miért? Mert </w:t>
      </w:r>
      <w:r w:rsidRPr="00267A2F">
        <w:rPr>
          <w:rFonts w:ascii="Times New Roman" w:eastAsia="Times New Roman" w:hAnsi="Times New Roman"/>
          <w:b/>
          <w:bCs/>
          <w:szCs w:val="24"/>
        </w:rPr>
        <w:t>a személy méltóságát nem a tudatosság szintje, hanem igazán az adja, hogy szabadon ő döntheti el, hogyan és mit értékel</w:t>
      </w:r>
      <w:r w:rsidRPr="00267A2F">
        <w:rPr>
          <w:rFonts w:ascii="Times New Roman" w:eastAsia="Times New Roman" w:hAnsi="Times New Roman"/>
          <w:bCs/>
          <w:szCs w:val="24"/>
        </w:rPr>
        <w:t xml:space="preserve"> (az eszméletlen állapotban lévő betegnek is teljes értékű személyi méltósága van éppúgy, mint egy csecsemőnek vagy magzatnak).</w:t>
      </w:r>
    </w:p>
    <w:p w14:paraId="7BEAD429" w14:textId="77777777" w:rsidR="00B87D52" w:rsidRPr="00267A2F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267A2F">
        <w:rPr>
          <w:rFonts w:ascii="Times New Roman" w:hAnsi="Times New Roman"/>
          <w:b/>
          <w:color w:val="000000"/>
          <w:szCs w:val="24"/>
        </w:rPr>
        <w:t xml:space="preserve">Mindnyájan azzá válunk, amit értékelünk. </w:t>
      </w:r>
      <w:r w:rsidRPr="00267A2F">
        <w:rPr>
          <w:rFonts w:ascii="Times New Roman" w:hAnsi="Times New Roman"/>
          <w:color w:val="000000"/>
          <w:szCs w:val="24"/>
        </w:rPr>
        <w:t>Ha te az önzést értékeled, vagy a bűnt értékeled, akkor ördögivé válsz, ha az Istent értékeled, akkor istenivé válsz.</w:t>
      </w:r>
    </w:p>
    <w:p w14:paraId="7ADA12B1" w14:textId="77777777" w:rsidR="00B87D52" w:rsidRPr="00267A2F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DA2AAC">
        <w:rPr>
          <w:rFonts w:ascii="Times New Roman" w:eastAsia="Times New Roman" w:hAnsi="Times New Roman"/>
          <w:bCs/>
          <w:szCs w:val="24"/>
        </w:rPr>
        <w:t xml:space="preserve">Ha Jézus csak egy hozzánk hasonló ember, akkor nem lehet a Megváltónk. A halandó embert ugyanis csak a halhatatlan Isten tudja felemelni. </w:t>
      </w:r>
      <w:r w:rsidRPr="00267A2F">
        <w:rPr>
          <w:rFonts w:ascii="Times New Roman" w:eastAsia="Times New Roman" w:hAnsi="Times New Roman"/>
          <w:b/>
          <w:bCs/>
          <w:szCs w:val="24"/>
        </w:rPr>
        <w:t xml:space="preserve">Ha nem az Atyával egylényegű személy a Fiú, akkor nincs megváltásunk, s akkor az embernek nincs jövője. </w:t>
      </w:r>
      <w:r w:rsidRPr="00DA2AAC">
        <w:rPr>
          <w:rFonts w:ascii="Times New Roman" w:eastAsia="Times New Roman" w:hAnsi="Times New Roman"/>
          <w:bCs/>
          <w:szCs w:val="24"/>
        </w:rPr>
        <w:t>Akkor soha senki nem fog bennünket felemelni a bűneinkből, és nem tudunk szentté válni, ha nem érintkezik velünk a Szent Isten.</w:t>
      </w:r>
    </w:p>
    <w:p w14:paraId="1B0BFC6D" w14:textId="77777777" w:rsidR="00B87D52" w:rsidRPr="00267A2F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267A2F">
        <w:rPr>
          <w:rFonts w:ascii="Times New Roman" w:eastAsia="Times New Roman" w:hAnsi="Times New Roman"/>
          <w:b/>
          <w:bCs/>
          <w:szCs w:val="24"/>
        </w:rPr>
        <w:t>A doketizmus eretneksége</w:t>
      </w:r>
      <w:r w:rsidRPr="00267A2F">
        <w:rPr>
          <w:rFonts w:ascii="Times New Roman" w:eastAsia="Times New Roman" w:hAnsi="Times New Roman"/>
          <w:bCs/>
          <w:szCs w:val="24"/>
        </w:rPr>
        <w:t xml:space="preserve">, mely már az első század végén megjelent, </w:t>
      </w:r>
      <w:r w:rsidRPr="00267A2F">
        <w:rPr>
          <w:rFonts w:ascii="Times New Roman" w:eastAsia="Times New Roman" w:hAnsi="Times New Roman"/>
          <w:b/>
          <w:bCs/>
          <w:szCs w:val="24"/>
        </w:rPr>
        <w:t>hogy Jézusnak a teste nem volt igazi, s valójában nem is szenvedett; ott a kereszten Krisztusnak a teste csak egy látszattest.</w:t>
      </w:r>
    </w:p>
    <w:p w14:paraId="35DF9945" w14:textId="77777777" w:rsidR="00B87D52" w:rsidRPr="00267A2F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Cs w:val="24"/>
        </w:rPr>
      </w:pPr>
      <w:r w:rsidRPr="00267A2F">
        <w:rPr>
          <w:rFonts w:ascii="Times New Roman" w:eastAsia="Times New Roman" w:hAnsi="Times New Roman"/>
          <w:b/>
          <w:bCs/>
          <w:szCs w:val="24"/>
        </w:rPr>
        <w:t>Minden vasárnap a Szentmisében elimádkozunk: „</w:t>
      </w:r>
      <w:r w:rsidRPr="00267A2F">
        <w:rPr>
          <w:rFonts w:ascii="Times New Roman" w:eastAsia="Times New Roman" w:hAnsi="Times New Roman"/>
          <w:b/>
          <w:szCs w:val="24"/>
        </w:rPr>
        <w:t>született, de nem teremtmény, az Atyával egylényegű és minden általa lett.”</w:t>
      </w:r>
    </w:p>
    <w:p w14:paraId="5E07C455" w14:textId="77777777" w:rsidR="00B87D52" w:rsidRPr="00DA2AAC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DA2AAC">
        <w:rPr>
          <w:rFonts w:ascii="Times New Roman" w:eastAsia="Times New Roman" w:hAnsi="Times New Roman"/>
          <w:bCs/>
          <w:szCs w:val="24"/>
        </w:rPr>
        <w:t xml:space="preserve">KEK 464: </w:t>
      </w:r>
      <w:r w:rsidRPr="00DA2AAC">
        <w:rPr>
          <w:rFonts w:ascii="Times New Roman" w:eastAsia="Times New Roman" w:hAnsi="Times New Roman"/>
          <w:szCs w:val="24"/>
        </w:rPr>
        <w:t>Az Isten Fia megtestesülésének egyetlen és teljesen egyedülálló eseménye</w:t>
      </w:r>
      <w:r w:rsidRPr="00267A2F">
        <w:rPr>
          <w:rFonts w:ascii="Times New Roman" w:eastAsia="Times New Roman" w:hAnsi="Times New Roman"/>
          <w:b/>
          <w:szCs w:val="24"/>
        </w:rPr>
        <w:t xml:space="preserve"> nem azt jelenti, hogy Jézus Krisztus részben Isten, részben ember, vagy, hogy az isteni és az emberi elem zavaros keveréke volna. Ő valóban emberré lett, és valóban Isten maradt. Jézus Krisztus valóságos Isten és valóságos ember.</w:t>
      </w:r>
    </w:p>
    <w:p w14:paraId="6B03C9AB" w14:textId="77777777" w:rsidR="00B87D52" w:rsidRPr="00DA2AAC" w:rsidRDefault="00B87D52" w:rsidP="00B87D5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DA2AAC">
        <w:rPr>
          <w:rFonts w:ascii="Times New Roman" w:eastAsia="Times New Roman" w:hAnsi="Times New Roman"/>
          <w:b/>
          <w:szCs w:val="24"/>
        </w:rPr>
        <w:lastRenderedPageBreak/>
        <w:t xml:space="preserve">A megtestesülésben nem két személy és két természet egyesül, hanem egyfajta „személy átültetés” történik: isteni személyt emberi természetbe. </w:t>
      </w:r>
      <w:r w:rsidRPr="00DA2AAC">
        <w:rPr>
          <w:rFonts w:ascii="Times New Roman" w:eastAsia="Times New Roman" w:hAnsi="Times New Roman"/>
          <w:szCs w:val="24"/>
        </w:rPr>
        <w:t>Nem úgy kell elképzelni azonban, hogy ezt egy meglévő emberi én helyébe ültetik be, hanem az öröktől való Fiú Énje egyesül Mária méhében egy emberi természettel, s hozzákapcsolja teljes isteni természetét ehhez a törékeny emberhez.</w:t>
      </w:r>
    </w:p>
    <w:p w14:paraId="0B5C8854" w14:textId="77777777" w:rsidR="00B87D52" w:rsidRPr="006C1C04" w:rsidRDefault="00B87D52" w:rsidP="00B87D52">
      <w:pPr>
        <w:jc w:val="both"/>
        <w:rPr>
          <w:rFonts w:ascii="Times New Roman" w:eastAsia="Times New Roman" w:hAnsi="Times New Roman" w:cs="Times New Roman"/>
          <w:b/>
          <w:i/>
          <w:szCs w:val="24"/>
        </w:rPr>
      </w:pPr>
    </w:p>
    <w:p w14:paraId="3EAEA908" w14:textId="77777777" w:rsidR="00B66586" w:rsidRDefault="00B66586" w:rsidP="00B62374">
      <w:pPr>
        <w:ind w:firstLine="567"/>
        <w:jc w:val="both"/>
        <w:rPr>
          <w:szCs w:val="24"/>
        </w:rPr>
      </w:pPr>
    </w:p>
    <w:p w14:paraId="4D9763CF" w14:textId="77777777" w:rsidR="00B66586" w:rsidRDefault="00B66586" w:rsidP="00A93E24">
      <w:pPr>
        <w:rPr>
          <w:szCs w:val="24"/>
        </w:rPr>
      </w:pPr>
    </w:p>
    <w:p w14:paraId="43DCD61D" w14:textId="77777777" w:rsidR="009C1D07" w:rsidRDefault="009C1D07" w:rsidP="00B66586">
      <w:pPr>
        <w:pStyle w:val="kincstrcmsor"/>
      </w:pPr>
    </w:p>
    <w:p w14:paraId="0A0EEF2E" w14:textId="77777777" w:rsidR="009C1D07" w:rsidRDefault="009C1D07" w:rsidP="00B66586">
      <w:pPr>
        <w:pStyle w:val="kincstrcmsor"/>
      </w:pPr>
    </w:p>
    <w:p w14:paraId="79FA669D" w14:textId="77777777" w:rsidR="009C1D07" w:rsidRDefault="009C1D07" w:rsidP="00B66586">
      <w:pPr>
        <w:pStyle w:val="kincstrcmsor"/>
      </w:pPr>
    </w:p>
    <w:p w14:paraId="163F8A00" w14:textId="77777777" w:rsidR="009C1D07" w:rsidRDefault="009C1D07" w:rsidP="00B66586">
      <w:pPr>
        <w:pStyle w:val="kincstrcmsor"/>
      </w:pPr>
    </w:p>
    <w:p w14:paraId="1E9DEA4F" w14:textId="77777777" w:rsidR="009C1D07" w:rsidRDefault="009C1D07" w:rsidP="00B66586">
      <w:pPr>
        <w:pStyle w:val="kincstrcmsor"/>
      </w:pPr>
    </w:p>
    <w:p w14:paraId="2B32970B" w14:textId="77777777" w:rsidR="009C1D07" w:rsidRDefault="009C1D07" w:rsidP="00B66586">
      <w:pPr>
        <w:pStyle w:val="kincstrcmsor"/>
      </w:pPr>
    </w:p>
    <w:p w14:paraId="4ED93944" w14:textId="77777777" w:rsidR="009C1D07" w:rsidRDefault="009C1D07" w:rsidP="00B66586">
      <w:pPr>
        <w:pStyle w:val="kincstrcmsor"/>
      </w:pPr>
    </w:p>
    <w:p w14:paraId="7E76CF59" w14:textId="77777777" w:rsidR="009C1D07" w:rsidRDefault="009C1D07" w:rsidP="00B66586">
      <w:pPr>
        <w:pStyle w:val="kincstrcmsor"/>
      </w:pPr>
    </w:p>
    <w:p w14:paraId="2EFD8DE2" w14:textId="77777777" w:rsidR="009C1D07" w:rsidRDefault="009C1D07" w:rsidP="00B66586">
      <w:pPr>
        <w:pStyle w:val="kincstrcmsor"/>
      </w:pPr>
    </w:p>
    <w:p w14:paraId="5038D704" w14:textId="77777777" w:rsidR="009C1D07" w:rsidRDefault="009C1D07" w:rsidP="00B66586">
      <w:pPr>
        <w:pStyle w:val="kincstrcmsor"/>
      </w:pPr>
    </w:p>
    <w:p w14:paraId="2F9D8BF8" w14:textId="77777777" w:rsidR="009C1D07" w:rsidRDefault="009C1D07" w:rsidP="00B66586">
      <w:pPr>
        <w:pStyle w:val="kincstrcmsor"/>
      </w:pPr>
    </w:p>
    <w:p w14:paraId="4A0F88ED" w14:textId="77777777" w:rsidR="009C1D07" w:rsidRDefault="009C1D07" w:rsidP="00B66586">
      <w:pPr>
        <w:pStyle w:val="kincstrcmsor"/>
      </w:pPr>
    </w:p>
    <w:p w14:paraId="5104D226" w14:textId="77777777" w:rsidR="009C1D07" w:rsidRDefault="009C1D07" w:rsidP="00B66586">
      <w:pPr>
        <w:pStyle w:val="kincstrcmsor"/>
      </w:pPr>
    </w:p>
    <w:p w14:paraId="40FEE4C8" w14:textId="77777777" w:rsidR="009C1D07" w:rsidRDefault="009C1D07" w:rsidP="00B66586">
      <w:pPr>
        <w:pStyle w:val="kincstrcmsor"/>
      </w:pPr>
    </w:p>
    <w:p w14:paraId="0D9B927E" w14:textId="77777777" w:rsidR="009C1D07" w:rsidRDefault="009C1D07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393341">
      <w:headerReference w:type="default" r:id="rId9"/>
      <w:footerReference w:type="default" r:id="rId10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5B64" w14:textId="77777777" w:rsidR="00FF13B4" w:rsidRDefault="00FF13B4" w:rsidP="00DC5291">
      <w:r>
        <w:separator/>
      </w:r>
    </w:p>
  </w:endnote>
  <w:endnote w:type="continuationSeparator" w:id="0">
    <w:p w14:paraId="36E4361B" w14:textId="77777777" w:rsidR="00FF13B4" w:rsidRDefault="00FF13B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1EDFC4D5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AE0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D88D7" w14:textId="77777777" w:rsidR="00FF13B4" w:rsidRDefault="00FF13B4" w:rsidP="00DC5291">
      <w:r>
        <w:separator/>
      </w:r>
    </w:p>
  </w:footnote>
  <w:footnote w:type="continuationSeparator" w:id="0">
    <w:p w14:paraId="15F1A90E" w14:textId="77777777" w:rsidR="00FF13B4" w:rsidRDefault="00FF13B4" w:rsidP="00DC5291">
      <w:r>
        <w:continuationSeparator/>
      </w:r>
    </w:p>
  </w:footnote>
  <w:footnote w:id="1">
    <w:p w14:paraId="77E6C4DF" w14:textId="77777777" w:rsidR="00B87D52" w:rsidRPr="008D749E" w:rsidRDefault="00B87D52" w:rsidP="00B87D52">
      <w:pPr>
        <w:pStyle w:val="Lbjegyzetszveg"/>
        <w:spacing w:after="0"/>
        <w:rPr>
          <w:rFonts w:ascii="Times New Roman" w:hAnsi="Times New Roman"/>
          <w:sz w:val="12"/>
          <w:szCs w:val="12"/>
        </w:rPr>
      </w:pPr>
      <w:r w:rsidRPr="008D749E">
        <w:rPr>
          <w:rStyle w:val="Lbjegyzet-hivatkozs"/>
          <w:rFonts w:ascii="Times New Roman" w:hAnsi="Times New Roman"/>
          <w:sz w:val="12"/>
          <w:szCs w:val="12"/>
        </w:rPr>
        <w:footnoteRef/>
      </w:r>
      <w:r w:rsidRPr="008D749E">
        <w:rPr>
          <w:rFonts w:ascii="Times New Roman" w:hAnsi="Times New Roman"/>
          <w:sz w:val="12"/>
          <w:szCs w:val="12"/>
        </w:rPr>
        <w:t xml:space="preserve"> </w:t>
      </w:r>
      <w:hyperlink r:id="rId1" w:anchor="JB91" w:history="1">
        <w:r w:rsidRPr="008D749E">
          <w:rPr>
            <w:rFonts w:ascii="Times New Roman" w:eastAsia="Times New Roman" w:hAnsi="Times New Roman"/>
            <w:color w:val="0000FF"/>
            <w:sz w:val="12"/>
            <w:szCs w:val="12"/>
            <w:u w:val="single"/>
            <w:lang w:eastAsia="hu-HU"/>
          </w:rPr>
          <w:t xml:space="preserve">[91] </w:t>
        </w:r>
      </w:hyperlink>
      <w:r w:rsidRPr="008D749E">
        <w:rPr>
          <w:rFonts w:ascii="Times New Roman" w:eastAsia="Times New Roman" w:hAnsi="Times New Roman"/>
          <w:sz w:val="12"/>
          <w:szCs w:val="12"/>
          <w:lang w:eastAsia="hu-HU"/>
        </w:rPr>
        <w:t>Efezusi Zsinat: Alexandriai Cirill 2. levele Nesztorioszhoz: DS 250.</w:t>
      </w:r>
    </w:p>
  </w:footnote>
  <w:footnote w:id="2">
    <w:p w14:paraId="6B1B8E5A" w14:textId="77777777" w:rsidR="00B87D52" w:rsidRPr="008D749E" w:rsidRDefault="00B87D52" w:rsidP="00B87D52">
      <w:pPr>
        <w:pStyle w:val="Lbjegyzetszveg"/>
        <w:spacing w:after="0"/>
        <w:rPr>
          <w:rFonts w:ascii="Times New Roman" w:hAnsi="Times New Roman"/>
          <w:sz w:val="12"/>
          <w:szCs w:val="12"/>
        </w:rPr>
      </w:pPr>
      <w:r w:rsidRPr="008D749E">
        <w:rPr>
          <w:rStyle w:val="Lbjegyzet-hivatkozs"/>
          <w:rFonts w:ascii="Times New Roman" w:hAnsi="Times New Roman"/>
          <w:sz w:val="12"/>
          <w:szCs w:val="12"/>
        </w:rPr>
        <w:footnoteRef/>
      </w:r>
      <w:r w:rsidRPr="008D749E">
        <w:rPr>
          <w:rFonts w:ascii="Times New Roman" w:hAnsi="Times New Roman"/>
          <w:sz w:val="12"/>
          <w:szCs w:val="12"/>
        </w:rPr>
        <w:t xml:space="preserve"> </w:t>
      </w:r>
      <w:hyperlink r:id="rId2" w:anchor="JB92" w:history="1">
        <w:r w:rsidRPr="008D749E">
          <w:rPr>
            <w:rFonts w:ascii="Times New Roman" w:eastAsia="Times New Roman" w:hAnsi="Times New Roman"/>
            <w:color w:val="0000FF"/>
            <w:sz w:val="12"/>
            <w:szCs w:val="12"/>
            <w:u w:val="single"/>
            <w:lang w:eastAsia="hu-HU"/>
          </w:rPr>
          <w:t xml:space="preserve">[92] </w:t>
        </w:r>
      </w:hyperlink>
      <w:r w:rsidRPr="008D749E">
        <w:rPr>
          <w:rFonts w:ascii="Times New Roman" w:eastAsia="Times New Roman" w:hAnsi="Times New Roman"/>
          <w:sz w:val="12"/>
          <w:szCs w:val="12"/>
          <w:lang w:eastAsia="hu-HU"/>
        </w:rPr>
        <w:t>Efezusi Zsinat: Alexandriai Cirill 2. levele Nesztorioszhoz: DS 251.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731D"/>
    <w:multiLevelType w:val="hybridMultilevel"/>
    <w:tmpl w:val="F9DAAF7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3504D"/>
    <w:multiLevelType w:val="hybridMultilevel"/>
    <w:tmpl w:val="BF62AF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482C29"/>
    <w:rsid w:val="00492C2B"/>
    <w:rsid w:val="0056207C"/>
    <w:rsid w:val="005668BF"/>
    <w:rsid w:val="0057084B"/>
    <w:rsid w:val="00597783"/>
    <w:rsid w:val="005A307F"/>
    <w:rsid w:val="005C0F32"/>
    <w:rsid w:val="00600282"/>
    <w:rsid w:val="00622155"/>
    <w:rsid w:val="00643D20"/>
    <w:rsid w:val="006E7EFB"/>
    <w:rsid w:val="00734543"/>
    <w:rsid w:val="007439F0"/>
    <w:rsid w:val="00753933"/>
    <w:rsid w:val="00804290"/>
    <w:rsid w:val="00820B9D"/>
    <w:rsid w:val="00874976"/>
    <w:rsid w:val="008B3F22"/>
    <w:rsid w:val="008C4AE0"/>
    <w:rsid w:val="009B2892"/>
    <w:rsid w:val="009C1D07"/>
    <w:rsid w:val="00A07B03"/>
    <w:rsid w:val="00A20D8A"/>
    <w:rsid w:val="00A4105F"/>
    <w:rsid w:val="00A437F1"/>
    <w:rsid w:val="00A76A84"/>
    <w:rsid w:val="00A93E24"/>
    <w:rsid w:val="00AA0640"/>
    <w:rsid w:val="00AF341D"/>
    <w:rsid w:val="00B11BE8"/>
    <w:rsid w:val="00B278A8"/>
    <w:rsid w:val="00B33671"/>
    <w:rsid w:val="00B62374"/>
    <w:rsid w:val="00B63657"/>
    <w:rsid w:val="00B66586"/>
    <w:rsid w:val="00B70E57"/>
    <w:rsid w:val="00B87D52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B6237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alap">
    <w:name w:val="alap"/>
    <w:basedOn w:val="Norml"/>
    <w:rsid w:val="00B6237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B62374"/>
    <w:pPr>
      <w:spacing w:after="200" w:line="276" w:lineRule="auto"/>
      <w:ind w:left="720"/>
      <w:contextualSpacing/>
    </w:pPr>
    <w:rPr>
      <w:rFonts w:cs="Times New Roman"/>
      <w:sz w:val="22"/>
      <w:lang w:eastAsia="en-US"/>
    </w:rPr>
  </w:style>
  <w:style w:type="character" w:customStyle="1" w:styleId="st">
    <w:name w:val="st"/>
    <w:basedOn w:val="Bekezdsalapbettpusa"/>
    <w:rsid w:val="00B6237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7D52"/>
    <w:pPr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7D52"/>
    <w:rPr>
      <w:rFonts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87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arkas%20L&#225;szl&#243;\AppData\FARKAS~1\AppData\Local\Temp\Rar$EX00.957\kek0042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Farkas%20L&#225;szl&#243;\AppData\FARKAS~1\AppData\Local\Temp\Rar$EX00.957\kek00422.html" TargetMode="External"/><Relationship Id="rId1" Type="http://schemas.openxmlformats.org/officeDocument/2006/relationships/hyperlink" Target="file:///C:\Users\Farkas%20L&#225;szl&#243;\AppData\FARKAS~1\AppData\Local\Temp\Rar$EX00.957\kek00422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575CB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575CB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575CB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33BDA"/>
    <w:rsid w:val="000E52A1"/>
    <w:rsid w:val="00163B52"/>
    <w:rsid w:val="002F6CF1"/>
    <w:rsid w:val="003C616A"/>
    <w:rsid w:val="0049043B"/>
    <w:rsid w:val="004C6CDA"/>
    <w:rsid w:val="00550ABD"/>
    <w:rsid w:val="006575CB"/>
    <w:rsid w:val="0067039F"/>
    <w:rsid w:val="00696653"/>
    <w:rsid w:val="00715B58"/>
    <w:rsid w:val="00936854"/>
    <w:rsid w:val="009D17C5"/>
    <w:rsid w:val="00A417B3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2D24-3A38-4E83-8888-27930BAE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2020-04-05T06:30:00Z</dcterms:created>
  <dcterms:modified xsi:type="dcterms:W3CDTF">2020-04-05T06:30:00Z</dcterms:modified>
</cp:coreProperties>
</file>