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101B54"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01B54" w14:paraId="771D0A1F" w14:textId="77777777" w:rsidTr="009B2892">
        <w:trPr>
          <w:trHeight w:val="120"/>
        </w:trPr>
        <w:tc>
          <w:tcPr>
            <w:tcW w:w="7650" w:type="dxa"/>
            <w:gridSpan w:val="2"/>
          </w:tcPr>
          <w:p w14:paraId="7B9ECA47" w14:textId="0CBCF315" w:rsidR="00261B0F" w:rsidRPr="00101B54" w:rsidRDefault="00B66586" w:rsidP="00EC5A50">
            <w:pPr>
              <w:rPr>
                <w:rFonts w:asciiTheme="majorHAnsi" w:hAnsiTheme="majorHAnsi" w:cstheme="majorHAnsi"/>
                <w:b/>
                <w:sz w:val="32"/>
                <w:szCs w:val="32"/>
              </w:rPr>
            </w:pPr>
            <w:r w:rsidRPr="00101B54">
              <w:rPr>
                <w:rFonts w:asciiTheme="majorHAnsi" w:hAnsiTheme="majorHAnsi" w:cstheme="majorHAnsi"/>
                <w:b/>
                <w:sz w:val="28"/>
                <w:szCs w:val="28"/>
              </w:rPr>
              <w:t>Elem tartalma</w:t>
            </w:r>
            <w:r w:rsidR="00EC5A50" w:rsidRPr="00101B54">
              <w:rPr>
                <w:rFonts w:asciiTheme="majorHAnsi" w:hAnsiTheme="majorHAnsi" w:cstheme="majorHAnsi"/>
                <w:b/>
                <w:sz w:val="28"/>
                <w:szCs w:val="28"/>
              </w:rPr>
              <w:t>:</w:t>
            </w:r>
            <w:r w:rsidR="00BA5A15" w:rsidRPr="00101B54">
              <w:rPr>
                <w:rFonts w:asciiTheme="majorHAnsi" w:hAnsiTheme="majorHAnsi" w:cstheme="majorHAnsi"/>
                <w:b/>
                <w:sz w:val="28"/>
                <w:szCs w:val="28"/>
              </w:rPr>
              <w:t xml:space="preserve"> </w:t>
            </w:r>
            <w:r w:rsidR="00662C6E" w:rsidRPr="00101B54">
              <w:rPr>
                <w:rFonts w:asciiTheme="majorHAnsi" w:hAnsiTheme="majorHAnsi" w:cstheme="majorHAnsi"/>
                <w:b/>
                <w:sz w:val="28"/>
                <w:szCs w:val="28"/>
              </w:rPr>
              <w:t>Királyi papi vértanúk Magyarországon a kommunizmus árnyékában</w:t>
            </w:r>
          </w:p>
        </w:tc>
        <w:tc>
          <w:tcPr>
            <w:tcW w:w="2835" w:type="dxa"/>
          </w:tcPr>
          <w:p w14:paraId="15C30ED7" w14:textId="4FA657F8" w:rsidR="00261B0F" w:rsidRPr="00101B54" w:rsidRDefault="00261B0F" w:rsidP="00A93E24">
            <w:pPr>
              <w:rPr>
                <w:rFonts w:asciiTheme="majorHAnsi" w:hAnsiTheme="majorHAnsi" w:cstheme="majorHAnsi"/>
                <w:szCs w:val="32"/>
              </w:rPr>
            </w:pPr>
            <w:r w:rsidRPr="00101B54">
              <w:rPr>
                <w:rFonts w:asciiTheme="majorHAnsi" w:hAnsiTheme="majorHAnsi" w:cstheme="majorHAnsi"/>
                <w:szCs w:val="32"/>
              </w:rPr>
              <w:t>Kategória:</w:t>
            </w:r>
            <w:r w:rsidR="00B66586" w:rsidRPr="00101B54">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62C6E" w:rsidRPr="00101B54">
                  <w:rPr>
                    <w:rFonts w:asciiTheme="majorHAnsi" w:hAnsiTheme="majorHAnsi" w:cstheme="majorHAnsi"/>
                    <w:szCs w:val="32"/>
                  </w:rPr>
                  <w:t>előadás</w:t>
                </w:r>
              </w:sdtContent>
            </w:sdt>
          </w:p>
        </w:tc>
      </w:tr>
      <w:tr w:rsidR="00820B9D" w:rsidRPr="00101B54" w14:paraId="7365748E" w14:textId="77777777" w:rsidTr="009B2892">
        <w:trPr>
          <w:trHeight w:val="120"/>
        </w:trPr>
        <w:tc>
          <w:tcPr>
            <w:tcW w:w="7650" w:type="dxa"/>
            <w:gridSpan w:val="2"/>
          </w:tcPr>
          <w:p w14:paraId="301A340F" w14:textId="1FD1BE4F" w:rsidR="00820B9D" w:rsidRPr="00101B54" w:rsidRDefault="00D27963"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62C6E" w:rsidRPr="00101B54">
                  <w:rPr>
                    <w:rFonts w:asciiTheme="majorHAnsi" w:hAnsiTheme="majorHAnsi" w:cstheme="majorHAnsi"/>
                    <w:szCs w:val="24"/>
                  </w:rPr>
                  <w:t>Szerző(k):</w:t>
                </w:r>
              </w:sdtContent>
            </w:sdt>
            <w:r w:rsidR="00662C6E" w:rsidRPr="00101B54">
              <w:rPr>
                <w:rFonts w:asciiTheme="majorHAnsi" w:hAnsiTheme="majorHAnsi" w:cstheme="majorHAnsi"/>
                <w:szCs w:val="24"/>
              </w:rPr>
              <w:t xml:space="preserve"> Tomka Ferenc</w:t>
            </w:r>
          </w:p>
          <w:p w14:paraId="784BF365" w14:textId="3BA9AAFF" w:rsidR="00820B9D" w:rsidRPr="00101B54" w:rsidRDefault="00D27963"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662C6E" w:rsidRPr="00101B54">
                  <w:rPr>
                    <w:rFonts w:asciiTheme="majorHAnsi" w:hAnsiTheme="majorHAnsi" w:cstheme="majorHAnsi"/>
                    <w:szCs w:val="24"/>
                  </w:rPr>
                  <w:t>Szerkesztő(k):</w:t>
                </w:r>
              </w:sdtContent>
            </w:sdt>
            <w:r w:rsidR="002411E9" w:rsidRPr="00101B54">
              <w:rPr>
                <w:rFonts w:asciiTheme="majorHAnsi" w:hAnsiTheme="majorHAnsi" w:cstheme="majorHAnsi"/>
                <w:szCs w:val="24"/>
              </w:rPr>
              <w:t xml:space="preserve"> </w:t>
            </w:r>
            <w:r w:rsidR="00662C6E" w:rsidRPr="00101B54">
              <w:rPr>
                <w:rFonts w:asciiTheme="majorHAnsi" w:hAnsiTheme="majorHAnsi" w:cstheme="majorHAnsi"/>
                <w:szCs w:val="24"/>
              </w:rPr>
              <w:t>dr. Farkas László</w:t>
            </w:r>
            <w:r w:rsidR="002411E9" w:rsidRPr="00101B54">
              <w:rPr>
                <w:rFonts w:asciiTheme="majorHAnsi" w:hAnsiTheme="majorHAnsi" w:cstheme="majorHAnsi"/>
                <w:color w:val="808080" w:themeColor="background1" w:themeShade="80"/>
                <w:szCs w:val="24"/>
              </w:rPr>
              <w:tab/>
            </w:r>
          </w:p>
        </w:tc>
        <w:tc>
          <w:tcPr>
            <w:tcW w:w="2835" w:type="dxa"/>
          </w:tcPr>
          <w:p w14:paraId="14C562A1" w14:textId="204B4374" w:rsidR="00820B9D" w:rsidRPr="00101B54" w:rsidRDefault="00820B9D" w:rsidP="00DA0FC2">
            <w:pPr>
              <w:rPr>
                <w:rFonts w:asciiTheme="majorHAnsi" w:hAnsiTheme="majorHAnsi" w:cstheme="majorHAnsi"/>
                <w:szCs w:val="24"/>
              </w:rPr>
            </w:pPr>
            <w:r w:rsidRPr="00101B54">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101B54">
                  <w:rPr>
                    <w:rFonts w:asciiTheme="majorHAnsi" w:hAnsiTheme="majorHAnsi" w:cstheme="majorHAnsi"/>
                    <w:szCs w:val="24"/>
                  </w:rPr>
                  <w:t>Találkozó</w:t>
                </w:r>
              </w:sdtContent>
            </w:sdt>
          </w:p>
        </w:tc>
      </w:tr>
      <w:tr w:rsidR="00DA0FC2" w:rsidRPr="00101B54" w14:paraId="2DE7AB03" w14:textId="77777777" w:rsidTr="009B2892">
        <w:trPr>
          <w:trHeight w:val="120"/>
        </w:trPr>
        <w:tc>
          <w:tcPr>
            <w:tcW w:w="4531" w:type="dxa"/>
          </w:tcPr>
          <w:p w14:paraId="16356306" w14:textId="10B1FEAF" w:rsidR="00DA0FC2" w:rsidRPr="00101B54" w:rsidRDefault="00DA0FC2" w:rsidP="00EC5A50">
            <w:pPr>
              <w:rPr>
                <w:rFonts w:asciiTheme="majorHAnsi" w:hAnsiTheme="majorHAnsi" w:cstheme="majorHAnsi"/>
                <w:szCs w:val="24"/>
              </w:rPr>
            </w:pPr>
            <w:r w:rsidRPr="00101B54">
              <w:rPr>
                <w:rFonts w:asciiTheme="majorHAnsi" w:hAnsiTheme="majorHAnsi" w:cstheme="majorHAnsi"/>
                <w:szCs w:val="24"/>
              </w:rPr>
              <w:t>Kapcsolódó téma:</w:t>
            </w:r>
            <w:r w:rsidR="00C75887" w:rsidRPr="00101B54">
              <w:rPr>
                <w:rFonts w:asciiTheme="majorHAnsi" w:hAnsiTheme="majorHAnsi" w:cstheme="majorHAnsi"/>
                <w:szCs w:val="24"/>
              </w:rPr>
              <w:t xml:space="preserve"> </w:t>
            </w:r>
            <w:r w:rsidR="00662C6E" w:rsidRPr="00101B54">
              <w:rPr>
                <w:rFonts w:asciiTheme="majorHAnsi" w:hAnsiTheme="majorHAnsi" w:cstheme="majorHAnsi"/>
                <w:szCs w:val="24"/>
              </w:rPr>
              <w:t>Királyi papi vértanúk</w:t>
            </w:r>
          </w:p>
        </w:tc>
        <w:tc>
          <w:tcPr>
            <w:tcW w:w="5954" w:type="dxa"/>
            <w:gridSpan w:val="2"/>
          </w:tcPr>
          <w:p w14:paraId="1924A557" w14:textId="77777777" w:rsidR="00DA0FC2" w:rsidRPr="00101B54" w:rsidRDefault="00DA0FC2" w:rsidP="00DA0FC2">
            <w:pPr>
              <w:rPr>
                <w:rFonts w:asciiTheme="majorHAnsi" w:hAnsiTheme="majorHAnsi" w:cstheme="majorHAnsi"/>
                <w:szCs w:val="24"/>
              </w:rPr>
            </w:pPr>
            <w:r w:rsidRPr="00101B54">
              <w:rPr>
                <w:rFonts w:asciiTheme="majorHAnsi" w:hAnsiTheme="majorHAnsi" w:cstheme="majorHAnsi"/>
                <w:szCs w:val="24"/>
              </w:rPr>
              <w:t>Kapcsolódó előadás:</w:t>
            </w:r>
          </w:p>
        </w:tc>
      </w:tr>
      <w:tr w:rsidR="00DA0FC2" w:rsidRPr="00101B54" w14:paraId="06E162B8" w14:textId="77777777" w:rsidTr="009B2892">
        <w:trPr>
          <w:trHeight w:val="120"/>
        </w:trPr>
        <w:tc>
          <w:tcPr>
            <w:tcW w:w="4531" w:type="dxa"/>
          </w:tcPr>
          <w:p w14:paraId="2B98529B" w14:textId="18F0D865" w:rsidR="00DA0FC2" w:rsidRPr="00101B54" w:rsidRDefault="00DA0FC2" w:rsidP="00DA0FC2">
            <w:pPr>
              <w:rPr>
                <w:rFonts w:asciiTheme="majorHAnsi" w:hAnsiTheme="majorHAnsi" w:cstheme="majorHAnsi"/>
                <w:szCs w:val="24"/>
              </w:rPr>
            </w:pPr>
            <w:r w:rsidRPr="00101B54">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62C6E" w:rsidRPr="00101B54">
                  <w:rPr>
                    <w:rFonts w:asciiTheme="majorHAnsi" w:hAnsiTheme="majorHAnsi" w:cstheme="majorHAnsi"/>
                    <w:szCs w:val="24"/>
                  </w:rPr>
                  <w:t>Összrégió</w:t>
                </w:r>
              </w:sdtContent>
            </w:sdt>
          </w:p>
        </w:tc>
        <w:tc>
          <w:tcPr>
            <w:tcW w:w="3119" w:type="dxa"/>
          </w:tcPr>
          <w:p w14:paraId="0DA5C6D9" w14:textId="7FE492DD" w:rsidR="00DA0FC2" w:rsidRPr="00101B54" w:rsidRDefault="009B2892" w:rsidP="00EC5A50">
            <w:pPr>
              <w:rPr>
                <w:rFonts w:asciiTheme="majorHAnsi" w:hAnsiTheme="majorHAnsi" w:cstheme="majorHAnsi"/>
                <w:szCs w:val="24"/>
              </w:rPr>
            </w:pPr>
            <w:r w:rsidRPr="00101B54">
              <w:rPr>
                <w:rFonts w:asciiTheme="majorHAnsi" w:hAnsiTheme="majorHAnsi" w:cstheme="majorHAnsi"/>
                <w:szCs w:val="24"/>
              </w:rPr>
              <w:t xml:space="preserve">Település: </w:t>
            </w:r>
          </w:p>
        </w:tc>
        <w:tc>
          <w:tcPr>
            <w:tcW w:w="2835" w:type="dxa"/>
          </w:tcPr>
          <w:p w14:paraId="2BCA31B3" w14:textId="158EFB54" w:rsidR="00305BDF" w:rsidRPr="00101B54" w:rsidRDefault="00DA0FC2" w:rsidP="00662C6E">
            <w:pPr>
              <w:rPr>
                <w:rFonts w:asciiTheme="majorHAnsi" w:hAnsiTheme="majorHAnsi" w:cstheme="majorHAnsi"/>
                <w:szCs w:val="24"/>
              </w:rPr>
            </w:pPr>
            <w:r w:rsidRPr="00101B54">
              <w:rPr>
                <w:rFonts w:asciiTheme="majorHAnsi" w:hAnsiTheme="majorHAnsi" w:cstheme="majorHAnsi"/>
                <w:szCs w:val="24"/>
              </w:rPr>
              <w:t>Időpont:</w:t>
            </w:r>
            <w:r w:rsidR="00662C6E" w:rsidRPr="00101B54">
              <w:rPr>
                <w:rFonts w:asciiTheme="majorHAnsi" w:hAnsiTheme="majorHAnsi" w:cstheme="majorHAnsi"/>
                <w:szCs w:val="24"/>
              </w:rPr>
              <w:t xml:space="preserve"> 2010.04.</w:t>
            </w:r>
          </w:p>
        </w:tc>
      </w:tr>
    </w:tbl>
    <w:p w14:paraId="0F94D349" w14:textId="77777777" w:rsidR="00AA0640" w:rsidRPr="00101B54" w:rsidRDefault="00AA0640" w:rsidP="00A93E24">
      <w:pPr>
        <w:pStyle w:val="kincstrbra"/>
        <w:rPr>
          <w:rFonts w:asciiTheme="majorHAnsi" w:hAnsiTheme="majorHAnsi" w:cstheme="majorHAnsi"/>
          <w:szCs w:val="24"/>
        </w:rPr>
      </w:pPr>
    </w:p>
    <w:p w14:paraId="5B7A51F6" w14:textId="77777777" w:rsidR="009C1D07" w:rsidRPr="00101B54" w:rsidRDefault="009C1D07" w:rsidP="009C1D07">
      <w:pPr>
        <w:pStyle w:val="kincstrcmsor"/>
        <w:rPr>
          <w:rFonts w:asciiTheme="majorHAnsi" w:hAnsiTheme="majorHAnsi" w:cstheme="majorHAnsi"/>
        </w:rPr>
      </w:pPr>
      <w:r w:rsidRPr="00101B54">
        <w:rPr>
          <w:rFonts w:asciiTheme="majorHAnsi" w:hAnsiTheme="majorHAnsi" w:cstheme="majorHAnsi"/>
        </w:rPr>
        <w:t xml:space="preserve">Kapcsolódó anyagok: </w:t>
      </w:r>
    </w:p>
    <w:p w14:paraId="1B18117E" w14:textId="77777777" w:rsidR="00662C6E" w:rsidRPr="00101B54" w:rsidRDefault="00662C6E" w:rsidP="009C1D07">
      <w:pPr>
        <w:rPr>
          <w:rFonts w:asciiTheme="majorHAnsi" w:hAnsiTheme="majorHAnsi" w:cstheme="majorHAnsi"/>
          <w:szCs w:val="24"/>
        </w:rPr>
      </w:pPr>
      <w:r w:rsidRPr="00101B54">
        <w:rPr>
          <w:rFonts w:asciiTheme="majorHAnsi" w:hAnsiTheme="majorHAnsi" w:cstheme="majorHAnsi"/>
          <w:szCs w:val="24"/>
        </w:rPr>
        <w:t>Fő előadás:</w:t>
      </w:r>
    </w:p>
    <w:p w14:paraId="7EA73E47" w14:textId="4CC68F42" w:rsidR="009C1D07" w:rsidRPr="00101B54" w:rsidRDefault="00662C6E" w:rsidP="009C1D07">
      <w:pPr>
        <w:rPr>
          <w:rFonts w:asciiTheme="majorHAnsi" w:hAnsiTheme="majorHAnsi" w:cstheme="majorHAnsi"/>
          <w:szCs w:val="24"/>
        </w:rPr>
      </w:pPr>
      <w:r w:rsidRPr="00101B54">
        <w:rPr>
          <w:rFonts w:asciiTheme="majorHAnsi" w:hAnsiTheme="majorHAnsi" w:cstheme="majorHAnsi"/>
          <w:szCs w:val="24"/>
        </w:rPr>
        <w:t>2010_04_kiralyi_papi_vertanuk_</w:t>
      </w:r>
      <w:r w:rsidR="00101B54" w:rsidRPr="00101B54">
        <w:rPr>
          <w:rFonts w:asciiTheme="majorHAnsi" w:hAnsiTheme="majorHAnsi" w:cstheme="majorHAnsi"/>
          <w:szCs w:val="24"/>
        </w:rPr>
        <w:t>fo</w:t>
      </w:r>
      <w:r w:rsidRPr="00101B54">
        <w:rPr>
          <w:rFonts w:asciiTheme="majorHAnsi" w:hAnsiTheme="majorHAnsi" w:cstheme="majorHAnsi"/>
          <w:szCs w:val="24"/>
        </w:rPr>
        <w:t>eloadas_ossz_talalkozo</w:t>
      </w:r>
    </w:p>
    <w:p w14:paraId="17EE8C13" w14:textId="77777777" w:rsidR="00662C6E" w:rsidRPr="00101B54" w:rsidRDefault="00662C6E" w:rsidP="009C1D07">
      <w:pPr>
        <w:rPr>
          <w:rFonts w:asciiTheme="majorHAnsi" w:hAnsiTheme="majorHAnsi" w:cstheme="majorHAnsi"/>
          <w:szCs w:val="24"/>
        </w:rPr>
      </w:pPr>
    </w:p>
    <w:p w14:paraId="294CBFA8" w14:textId="451ADA17" w:rsidR="00662C6E" w:rsidRPr="00101B54" w:rsidRDefault="00662C6E" w:rsidP="009C1D07">
      <w:pPr>
        <w:rPr>
          <w:rFonts w:asciiTheme="majorHAnsi" w:hAnsiTheme="majorHAnsi" w:cstheme="majorHAnsi"/>
          <w:szCs w:val="24"/>
        </w:rPr>
      </w:pPr>
      <w:r w:rsidRPr="00101B54">
        <w:rPr>
          <w:rFonts w:asciiTheme="majorHAnsi" w:hAnsiTheme="majorHAnsi" w:cstheme="majorHAnsi"/>
          <w:szCs w:val="24"/>
        </w:rPr>
        <w:t>Mellékletek:</w:t>
      </w:r>
    </w:p>
    <w:p w14:paraId="21A45E02" w14:textId="355F6FB2" w:rsidR="00662C6E" w:rsidRPr="00101B54" w:rsidRDefault="00662C6E" w:rsidP="009C1D07">
      <w:pPr>
        <w:rPr>
          <w:rFonts w:asciiTheme="majorHAnsi" w:hAnsiTheme="majorHAnsi" w:cstheme="majorHAnsi"/>
          <w:szCs w:val="24"/>
        </w:rPr>
      </w:pPr>
      <w:r w:rsidRPr="00101B54">
        <w:rPr>
          <w:rFonts w:asciiTheme="majorHAnsi" w:hAnsiTheme="majorHAnsi" w:cstheme="majorHAnsi"/>
          <w:szCs w:val="24"/>
        </w:rPr>
        <w:t>2010_04_kiralyi_papi_vertanuk_Sandor_Istvan_egyeb_ossz_talalkozo</w:t>
      </w:r>
    </w:p>
    <w:p w14:paraId="7776F279" w14:textId="37EF9ADB" w:rsidR="00662C6E" w:rsidRPr="00101B54" w:rsidRDefault="00662C6E" w:rsidP="009C1D07">
      <w:pPr>
        <w:rPr>
          <w:rFonts w:asciiTheme="majorHAnsi" w:hAnsiTheme="majorHAnsi" w:cstheme="majorHAnsi"/>
          <w:szCs w:val="24"/>
        </w:rPr>
      </w:pPr>
      <w:r w:rsidRPr="00101B54">
        <w:rPr>
          <w:rFonts w:asciiTheme="majorHAnsi" w:hAnsiTheme="majorHAnsi" w:cstheme="majorHAnsi"/>
          <w:szCs w:val="24"/>
        </w:rPr>
        <w:t>2010_04_kiralyi_papi_vertanuk_Bodi_Maria_Magdolna_ossz_talalkozo</w:t>
      </w:r>
    </w:p>
    <w:p w14:paraId="710D29EB" w14:textId="77777777" w:rsidR="00A93E24" w:rsidRPr="00101B54" w:rsidRDefault="00B66586" w:rsidP="00A93E24">
      <w:pPr>
        <w:pStyle w:val="kincstrcmsor"/>
        <w:rPr>
          <w:rFonts w:asciiTheme="majorHAnsi" w:hAnsiTheme="majorHAnsi" w:cstheme="majorHAnsi"/>
        </w:rPr>
      </w:pPr>
      <w:r w:rsidRPr="00101B54">
        <w:rPr>
          <w:rFonts w:asciiTheme="majorHAnsi" w:hAnsiTheme="majorHAnsi" w:cstheme="majorHAnsi"/>
        </w:rPr>
        <w:t>Törzsanyag</w:t>
      </w:r>
      <w:r w:rsidR="00A93E24" w:rsidRPr="00101B54">
        <w:rPr>
          <w:rFonts w:asciiTheme="majorHAnsi" w:hAnsiTheme="majorHAnsi" w:cstheme="majorHAnsi"/>
        </w:rPr>
        <w:t>:</w:t>
      </w:r>
    </w:p>
    <w:p w14:paraId="210E0D97" w14:textId="77777777" w:rsidR="00A93E24" w:rsidRPr="00101B54" w:rsidRDefault="00A93E24" w:rsidP="00A93E24">
      <w:pPr>
        <w:rPr>
          <w:rFonts w:asciiTheme="majorHAnsi" w:hAnsiTheme="majorHAnsi" w:cstheme="majorHAnsi"/>
          <w:szCs w:val="24"/>
        </w:rPr>
      </w:pPr>
    </w:p>
    <w:p w14:paraId="332C1F04" w14:textId="77777777" w:rsidR="00B66586" w:rsidRPr="00101B54" w:rsidRDefault="00B66586" w:rsidP="00A93E24">
      <w:pPr>
        <w:rPr>
          <w:rFonts w:asciiTheme="majorHAnsi" w:hAnsiTheme="majorHAnsi" w:cstheme="majorHAnsi"/>
          <w:szCs w:val="24"/>
        </w:rPr>
      </w:pPr>
    </w:p>
    <w:p w14:paraId="6362F172" w14:textId="77777777" w:rsidR="00662C6E" w:rsidRPr="00101B54" w:rsidRDefault="00662C6E" w:rsidP="00662C6E">
      <w:pPr>
        <w:jc w:val="center"/>
        <w:rPr>
          <w:rFonts w:asciiTheme="majorHAnsi" w:hAnsiTheme="majorHAnsi" w:cstheme="majorHAnsi"/>
          <w:b/>
          <w:sz w:val="28"/>
          <w:szCs w:val="24"/>
          <w:u w:val="single"/>
        </w:rPr>
      </w:pPr>
      <w:r w:rsidRPr="00101B54">
        <w:rPr>
          <w:rFonts w:asciiTheme="majorHAnsi" w:hAnsiTheme="majorHAnsi" w:cstheme="majorHAnsi"/>
          <w:b/>
          <w:sz w:val="28"/>
          <w:szCs w:val="24"/>
          <w:u w:val="single"/>
        </w:rPr>
        <w:t>Királyi papi vértanúk Magyarországon a kommunizmus árnyékában</w:t>
      </w:r>
    </w:p>
    <w:p w14:paraId="65D5859E" w14:textId="77777777" w:rsidR="00662C6E" w:rsidRPr="00101B54" w:rsidRDefault="00662C6E" w:rsidP="00662C6E">
      <w:pPr>
        <w:jc w:val="center"/>
        <w:rPr>
          <w:rFonts w:asciiTheme="majorHAnsi" w:hAnsiTheme="majorHAnsi" w:cstheme="majorHAnsi"/>
          <w:szCs w:val="24"/>
        </w:rPr>
      </w:pPr>
    </w:p>
    <w:p w14:paraId="4B73EB1E" w14:textId="77777777" w:rsidR="00662C6E" w:rsidRPr="00101B54" w:rsidRDefault="00662C6E" w:rsidP="00662C6E">
      <w:pPr>
        <w:jc w:val="center"/>
        <w:rPr>
          <w:rFonts w:asciiTheme="majorHAnsi" w:hAnsiTheme="majorHAnsi" w:cstheme="majorHAnsi"/>
          <w:szCs w:val="24"/>
        </w:rPr>
      </w:pPr>
      <w:r w:rsidRPr="00101B54">
        <w:rPr>
          <w:rFonts w:asciiTheme="majorHAnsi" w:hAnsiTheme="majorHAnsi" w:cstheme="majorHAnsi"/>
          <w:szCs w:val="24"/>
        </w:rPr>
        <w:t xml:space="preserve">(Az előadást összeállította: Dr. Farkas László, Tomka Ferenc: </w:t>
      </w:r>
      <w:r w:rsidRPr="00101B54">
        <w:rPr>
          <w:rFonts w:asciiTheme="majorHAnsi" w:hAnsiTheme="majorHAnsi" w:cstheme="majorHAnsi"/>
          <w:i/>
          <w:szCs w:val="24"/>
        </w:rPr>
        <w:t>Halálra szántak, mégis élünk</w:t>
      </w:r>
      <w:r w:rsidRPr="00101B54">
        <w:rPr>
          <w:rFonts w:asciiTheme="majorHAnsi" w:hAnsiTheme="majorHAnsi" w:cstheme="majorHAnsi"/>
          <w:szCs w:val="24"/>
        </w:rPr>
        <w:t>, Szent István Társulat 2005. című könyvéből kivonatolt szó szerinti idézetek alapján, az Úr 2010. esztendejében)</w:t>
      </w:r>
    </w:p>
    <w:p w14:paraId="390FCD3E" w14:textId="77777777" w:rsidR="00662C6E" w:rsidRPr="00101B54" w:rsidRDefault="00662C6E" w:rsidP="00662C6E">
      <w:pPr>
        <w:jc w:val="both"/>
        <w:rPr>
          <w:rFonts w:asciiTheme="majorHAnsi" w:hAnsiTheme="majorHAnsi" w:cstheme="majorHAnsi"/>
          <w:szCs w:val="24"/>
        </w:rPr>
      </w:pPr>
    </w:p>
    <w:p w14:paraId="2E419A38" w14:textId="77777777" w:rsidR="00662C6E" w:rsidRPr="00101B54" w:rsidRDefault="00662C6E" w:rsidP="00662C6E">
      <w:pPr>
        <w:ind w:firstLine="720"/>
        <w:jc w:val="both"/>
        <w:rPr>
          <w:rFonts w:asciiTheme="majorHAnsi" w:hAnsiTheme="majorHAnsi" w:cstheme="majorHAnsi"/>
          <w:szCs w:val="24"/>
        </w:rPr>
      </w:pPr>
      <w:r w:rsidRPr="00101B54">
        <w:rPr>
          <w:rFonts w:asciiTheme="majorHAnsi" w:hAnsiTheme="majorHAnsi" w:cstheme="majorHAnsi"/>
          <w:b/>
          <w:szCs w:val="24"/>
        </w:rPr>
        <w:t>Királyi pap:</w:t>
      </w:r>
      <w:r w:rsidRPr="00101B54">
        <w:rPr>
          <w:rFonts w:asciiTheme="majorHAnsi" w:hAnsiTheme="majorHAnsi" w:cstheme="majorHAnsi"/>
          <w:szCs w:val="24"/>
        </w:rPr>
        <w:t xml:space="preserve"> minden megkeresztelt krisztushívő, azok is, akiket nem szenteltek fel a szolgálati papságra. Vértanúság: A keresztény hitért, hivatásért vagy a keresztény erkölcsért elszenvedett olyan halál, melyet az illető személy elkerülhetett volna, ha hivatásából, hitéből, erkölcseiből enged vagy megalkuszik. A kommunizmusnak nem minden áldozata vértanú is egyben, csak aki ezt tudatosan vállalta. Fehér vértanúnak nevezzük azokat, akik a végsőkig hűségesek voltak a hitükért, és nagyon sok áldozatot hoztak érte, de végül nem ontották ki a vérüket. Magyarországon 1945-től 1990 a kommunizmus lett a meghatározó világnézet. Ami Isten tagadásával (ateizmussal) és az Egyház üldözésével ígért az embereknek egy jobb társadalmat, de helyette óriási erkölcsi rombolást, halált és meghurcoltatást hozott. </w:t>
      </w:r>
    </w:p>
    <w:p w14:paraId="25C60FE4" w14:textId="77777777" w:rsidR="00662C6E" w:rsidRPr="00101B54" w:rsidRDefault="00662C6E" w:rsidP="00662C6E">
      <w:pPr>
        <w:ind w:firstLine="720"/>
        <w:jc w:val="both"/>
        <w:rPr>
          <w:rFonts w:asciiTheme="majorHAnsi" w:hAnsiTheme="majorHAnsi" w:cstheme="majorHAnsi"/>
          <w:szCs w:val="24"/>
        </w:rPr>
      </w:pPr>
      <w:r w:rsidRPr="00101B54">
        <w:rPr>
          <w:rFonts w:asciiTheme="majorHAnsi" w:hAnsiTheme="majorHAnsi" w:cstheme="majorHAnsi"/>
          <w:b/>
          <w:szCs w:val="24"/>
        </w:rPr>
        <w:t>A marxi és lenini felfogás</w:t>
      </w:r>
      <w:r w:rsidRPr="00101B54">
        <w:rPr>
          <w:rFonts w:asciiTheme="majorHAnsi" w:hAnsiTheme="majorHAnsi" w:cstheme="majorHAnsi"/>
          <w:szCs w:val="24"/>
        </w:rPr>
        <w:t xml:space="preserve"> szerint a vallás az igazságtalan társadalom fenntartója, elfeledteti az emberrel, hogy a földi társadalmat igazságosabbá kellene tenni. Lenin kijelentette: „A társadalmi haladás érdekében meg kell semmisíteni a vallást és az Egyházat. Ezt olyan tökéletesen hajtották végre, hogy a Szovjetunióban 20 millió embert kiirtottak. Bezárták a templomokat, 200.000 papot kivégeztek, a gyermekek vallásos nevelése büntetendő cselekmény volt, ellenforradalmi agitációnak számított. Ha kiderült, hogy egy szülő vallásosságra neveli gyermekét, emiatt bíróság elé került. Ott kapott azután még egy „lehetőséget” arra, hogy megtagadja vallását (1926. Szovjetunió Büntető Törvénykönyve 148§). </w:t>
      </w:r>
    </w:p>
    <w:p w14:paraId="3A5C647C" w14:textId="77777777" w:rsidR="00662C6E" w:rsidRPr="00101B54" w:rsidRDefault="00662C6E" w:rsidP="00662C6E">
      <w:pPr>
        <w:ind w:firstLine="720"/>
        <w:jc w:val="both"/>
        <w:rPr>
          <w:rFonts w:asciiTheme="majorHAnsi" w:hAnsiTheme="majorHAnsi" w:cstheme="majorHAnsi"/>
          <w:szCs w:val="24"/>
        </w:rPr>
      </w:pPr>
      <w:r w:rsidRPr="00101B54">
        <w:rPr>
          <w:rFonts w:asciiTheme="majorHAnsi" w:hAnsiTheme="majorHAnsi" w:cstheme="majorHAnsi"/>
          <w:b/>
          <w:szCs w:val="24"/>
        </w:rPr>
        <w:t>1945-1960-ig véres egyházüldözés volt tapasztalható Hazánkban.</w:t>
      </w:r>
      <w:r w:rsidRPr="00101B54">
        <w:rPr>
          <w:rFonts w:asciiTheme="majorHAnsi" w:hAnsiTheme="majorHAnsi" w:cstheme="majorHAnsi"/>
          <w:szCs w:val="24"/>
        </w:rPr>
        <w:t xml:space="preserve"> Nyilvánosságra került egy bizalmas irat, ami pártvezetők számára készült. Ebben szerepel, hogy milyen módszerekkel kell kiszorítani az Egyházat a közéletből. A kommunizmus az Istent akarta megölni az emberek szívében. Ezt olvashatjuk: „cél a vasárnapok meghódítása különösen az ifjúság körében. Mulatságok, szórakoztató előadások, sportesemények, moziakciók szervezése (a vasárnapi mise idejére). Az iskolákban terjeszteni kell, hogy a klerikális reakció (Egyház) a tudomány ellensége, veszélyezteti az ifjúság kenyerét, jövőjét.” </w:t>
      </w:r>
    </w:p>
    <w:p w14:paraId="0587CDE7" w14:textId="77777777" w:rsidR="00662C6E" w:rsidRPr="00101B54" w:rsidRDefault="00662C6E" w:rsidP="00662C6E">
      <w:pPr>
        <w:jc w:val="both"/>
        <w:rPr>
          <w:rFonts w:asciiTheme="majorHAnsi" w:hAnsiTheme="majorHAnsi" w:cstheme="majorHAnsi"/>
          <w:szCs w:val="24"/>
        </w:rPr>
      </w:pPr>
      <w:r w:rsidRPr="00101B54">
        <w:rPr>
          <w:rFonts w:asciiTheme="majorHAnsi" w:hAnsiTheme="majorHAnsi" w:cstheme="majorHAnsi"/>
          <w:szCs w:val="24"/>
        </w:rPr>
        <w:t xml:space="preserve">Sztálin nem volt megelégedve az egyház elleni harc sebességével, ezért Rákosi sietteti a műveletet ezekkel a szavakkal: „Az orosz nép megtapasztalta a szovjet vaskezét, nekünk is meg kell értetnünk az egyházzal, hogy velünk nem lehet játszani.” Akkor elkezdődtek a koncepciós perek, koholt vádak alapján papokat, világiakat börtönbüntetésre ítéltek, vagy éppen halálra. Ebben az iratban olvashatunk arról is, hogy hogyan kell majd </w:t>
      </w:r>
      <w:r w:rsidRPr="00101B54">
        <w:rPr>
          <w:rFonts w:asciiTheme="majorHAnsi" w:hAnsiTheme="majorHAnsi" w:cstheme="majorHAnsi"/>
          <w:szCs w:val="24"/>
        </w:rPr>
        <w:lastRenderedPageBreak/>
        <w:t xml:space="preserve">az egyesületek, iskolák megsemmisítéséhez megtalálni a katolikus egyesületekhez tartozó katolikus iskolákba járó fiatalokat, vagy ugyanezen intézmények vezetőit, tanárait. És rájuk kell bizonyítani, hogy gyilkosok, erkölcstelenek, összeesküvők, akik az állam megdöntésére törnek. </w:t>
      </w:r>
    </w:p>
    <w:p w14:paraId="45F2DD20" w14:textId="77777777" w:rsidR="00662C6E" w:rsidRPr="00101B54" w:rsidRDefault="00662C6E" w:rsidP="00662C6E">
      <w:pPr>
        <w:ind w:firstLine="720"/>
        <w:jc w:val="both"/>
        <w:rPr>
          <w:rFonts w:asciiTheme="majorHAnsi" w:hAnsiTheme="majorHAnsi" w:cstheme="majorHAnsi"/>
          <w:szCs w:val="24"/>
        </w:rPr>
      </w:pPr>
      <w:r w:rsidRPr="00101B54">
        <w:rPr>
          <w:rFonts w:asciiTheme="majorHAnsi" w:hAnsiTheme="majorHAnsi" w:cstheme="majorHAnsi"/>
          <w:b/>
          <w:szCs w:val="24"/>
        </w:rPr>
        <w:t>A gyöngyösi ifjúsági koncepciós per 1946-ban</w:t>
      </w:r>
      <w:r w:rsidRPr="00101B54">
        <w:rPr>
          <w:rFonts w:asciiTheme="majorHAnsi" w:hAnsiTheme="majorHAnsi" w:cstheme="majorHAnsi"/>
          <w:szCs w:val="24"/>
        </w:rPr>
        <w:t xml:space="preserve"> zajlott. Ez az első iskolák elleni per arra szolgált, hogy a katolikus egyesületek államellenes tevékenységét igazolja majd ország-világ előtt, és hogy Kis Szalézt, nagy hatású ifjúsági lelkipásztort eltegyék az útból. A diákok egyikének anyját az oroszok megerőszakolták, ezért ők a szovjet katonák ellen hadjáratot indítottak, a történtekért a felelősséget a rendőrség Szaléz atyára akarta hárítani. Ez nem sikerült, ekkor 30 nagyrészt középiskolás diákot tartóztattak le, addig „kezelték”, kínozták őket, amíg be nem ismerték, hogy az atya vezetése mellett összeesküvést szerveztek, ami persze nem volt igaz. Az Andrássy út 60-ban (Terror Háza) „készítették elő” a perre őket kínzásokkal, a fiataljaival együtt. Az ítélet után egyik cellába helyezték el a halálra ítélteket, a másikba a szovjet kényszermunkára szántakat. A kályhacső nyílásán kapcsolatot tudtak teremteni. Szaléz atya hittel, Istenben megnyugodva, mindenkinek megbocsátva várta kivégzését. Hitre bíztatta a Gyöngyösön összefogdosott és Szibériára ítélt fiatalokat, felnőtteket. Az utóbbiak felfedezték, hogy celláikban van egy besúgó, haragjukban hátulról agyon akarták ütni egy kemény tárggyal, de Pelbárt atya megakadályozta. Amikor nekiestek a besúgónak, az bevallott mindent, s mindenkitől bocsánatot kért, Szaléz atya a kályhalyukon keresztül feloldozta azt, aki megfontolt szándékkal, bár kényszer hatására hamis vádaskodással közreműködött elítélésében. Kis Szaléz atyát és 3 diákját, a 17 éves Krizman Ottót és Bodnár Lászlót, valamint a 16 éves Kis Sándort halálra ítélték, majd Sopronkőhidán agyonverték. 30 további személyt, köztük sok fiatalkorút fegyházba illetve kényszermunkára vittek.</w:t>
      </w:r>
    </w:p>
    <w:p w14:paraId="1119F609" w14:textId="77777777" w:rsidR="00662C6E" w:rsidRPr="00101B54" w:rsidRDefault="00662C6E" w:rsidP="00662C6E">
      <w:pPr>
        <w:ind w:firstLine="720"/>
        <w:jc w:val="both"/>
        <w:rPr>
          <w:rFonts w:asciiTheme="majorHAnsi" w:hAnsiTheme="majorHAnsi" w:cstheme="majorHAnsi"/>
          <w:szCs w:val="24"/>
        </w:rPr>
      </w:pPr>
      <w:r w:rsidRPr="00101B54">
        <w:rPr>
          <w:rFonts w:asciiTheme="majorHAnsi" w:hAnsiTheme="majorHAnsi" w:cstheme="majorHAnsi"/>
          <w:szCs w:val="24"/>
        </w:rPr>
        <w:t xml:space="preserve">Folytatódtak a </w:t>
      </w:r>
      <w:r w:rsidRPr="00101B54">
        <w:rPr>
          <w:rFonts w:asciiTheme="majorHAnsi" w:hAnsiTheme="majorHAnsi" w:cstheme="majorHAnsi"/>
          <w:b/>
          <w:szCs w:val="24"/>
        </w:rPr>
        <w:t>koncepciós perek katolikus fiatalok ellen</w:t>
      </w:r>
      <w:r w:rsidRPr="00101B54">
        <w:rPr>
          <w:rFonts w:asciiTheme="majorHAnsi" w:hAnsiTheme="majorHAnsi" w:cstheme="majorHAnsi"/>
          <w:szCs w:val="24"/>
        </w:rPr>
        <w:t xml:space="preserve">. Mindszenty bíboros így számol be: „Rajk váratlanul a középiskolák ellen rendelt el házkutatást. A rendőrség bejelentés nélkül szállt ki, osztályról osztályra vizsgálta át a tanulók táskáját, füzeteit, s motozta meg zsebeit.” Ez 1946 tavaszán 5 egyházi iskolában megtörtént. „A razzia végén magukkal vittek 10-15 diákot és 1-2 napig fogva tartották őket. Fenyegetésekkel, veréssel, kínzással aláírattak velük kihallgatási jegyzőkönyveket, amelyeken szerzetes tanáraik, hitoktatóik ellen összeállított vádak sorakoztak. A tanintézetekben a rendőrök éjjelente pisztolyokat, puskákat, töltényeket rejtettek el, amelyeket másnap az igazgató jelenlétében találtak meg, s mutattak fel, mint a diák-összeesküvés bűnjeleit.” Számos katolikus fiatalról tudunk, akik az egyházi iskolák megszüntetésének idején súlyos üldözéseket szenvedtek hitükért. A nagy és halálos ítéletekkel záruló perek sorozata mellett kicsinek számítottak azok az eljárások, amelyekben a diákokat, tanárokat „csupán” néhány éves börtönnel vagy minden középiskolából való kizárással büntették. 1948-ban Ortutai Gyula kinyilvánította, hogy az egyházi iskolákat államosítani fogják. Sopronban, ezután a nyilatkozat után egy katolikus középiskola negyedik osztályos diákja társai nevében tüntetést szervezett, melyre 2000 ember jött össze. Büntetésből 8 személyt bírói ítélet nélkül internáltak (3 katolikus pedagógust, 2 szülőt és 3 diákot), másokat börtönbe zártak. A szabadulásuk után évtizedekig megbélyegzettként kellett élniük. </w:t>
      </w:r>
    </w:p>
    <w:p w14:paraId="2C006FD8" w14:textId="77777777" w:rsidR="00662C6E" w:rsidRPr="00101B54" w:rsidRDefault="00662C6E" w:rsidP="00662C6E">
      <w:pPr>
        <w:jc w:val="both"/>
        <w:rPr>
          <w:rFonts w:asciiTheme="majorHAnsi" w:hAnsiTheme="majorHAnsi" w:cstheme="majorHAnsi"/>
          <w:szCs w:val="24"/>
        </w:rPr>
      </w:pPr>
      <w:r w:rsidRPr="00101B54">
        <w:rPr>
          <w:rFonts w:asciiTheme="majorHAnsi" w:hAnsiTheme="majorHAnsi" w:cstheme="majorHAnsi"/>
          <w:szCs w:val="24"/>
        </w:rPr>
        <w:t xml:space="preserve">A börtön és a halál veszélye ellenére sok tízezer fiatal vállalta, hogy tiltott csoportokban összejöjjenek lelkigyakorlatokon, ifjúsági találkozókon, hittanokon vegyenek részt. Voltak, akiket emiatt nem vettek fel egyetlen egyetemre sem, vagy kizártak onnan. A korszaknak a fájdalmas tapasztalatai közé tartoznak még a politikai indíttatású internálások és kitelepítések, amit 1948 és 1953 között a Magyar Dolgozók Pártja, azaz a kommunista párt hajtott végre.  Hivatalos adatok szerint a kulákoknak (földbirtokos paraszt) nyilvánított családoktól ebben az időben 65000 lakóházat és 16000 gazdasági épületet tulajdonítottak el. A kitelepítésre elegendő ok volt sokszor már az is, hogy valamelyik pártfunkcionáriusnak fájt a foga egy tehetősebb család házára, máskor pedig az, hogy az illető templomba jár. Egyfajta fehér vértanúk azok a fiatalok és szülők, akik ennek ellenére nem hagyták el hitük gyakorlását. A legkegyetlenebb sors azokra várt, akiket a hortobágyi „szociális” táborba szállítottak, ami szögesdróttal körülvett tábor volt. Ötvenesével-százasával helyezték el őket fűtetlen barakkokban. Embertelen bánásmódban, szigorú munkakényszerben, látogatási tilalommal, éjszakai riadókkal kínozták őket. A táborok száma több 100-ra duzzadt, 44000-re becsülik az ezekben megfordultak számát. Összességében ezekben az években internáltak, letartóztatottak vagy bírói ítélet nélkül fogvatartottak száma 300000 körül mozog. Az ÁVO (Államvédelmi Osztály – politikai rendőrség, a </w:t>
      </w:r>
      <w:r w:rsidRPr="00101B54">
        <w:rPr>
          <w:rFonts w:asciiTheme="majorHAnsi" w:hAnsiTheme="majorHAnsi" w:cstheme="majorHAnsi"/>
          <w:szCs w:val="24"/>
        </w:rPr>
        <w:lastRenderedPageBreak/>
        <w:t xml:space="preserve">kommunista rendszer erőszakszervezete) 1950-re 140000-es létszámra növekedett, és kb. 1 millió ember szerepelt a nyilvántartásukban veszélyes elemként. </w:t>
      </w:r>
    </w:p>
    <w:p w14:paraId="27CF6A44" w14:textId="77777777" w:rsidR="00662C6E" w:rsidRPr="00101B54" w:rsidRDefault="00662C6E" w:rsidP="00662C6E">
      <w:pPr>
        <w:autoSpaceDE w:val="0"/>
        <w:autoSpaceDN w:val="0"/>
        <w:adjustRightInd w:val="0"/>
        <w:ind w:firstLine="720"/>
        <w:jc w:val="both"/>
        <w:rPr>
          <w:rFonts w:asciiTheme="majorHAnsi" w:hAnsiTheme="majorHAnsi" w:cstheme="majorHAnsi"/>
          <w:i/>
          <w:szCs w:val="24"/>
        </w:rPr>
      </w:pPr>
      <w:r w:rsidRPr="00101B54">
        <w:rPr>
          <w:rFonts w:asciiTheme="majorHAnsi" w:hAnsiTheme="majorHAnsi" w:cstheme="majorHAnsi"/>
          <w:szCs w:val="24"/>
        </w:rPr>
        <w:t xml:space="preserve">Recsk egy félelmetes munkatábor volt. </w:t>
      </w:r>
      <w:r w:rsidRPr="00101B54">
        <w:rPr>
          <w:rFonts w:asciiTheme="majorHAnsi" w:hAnsiTheme="majorHAnsi" w:cstheme="majorHAnsi"/>
          <w:i/>
          <w:szCs w:val="24"/>
        </w:rPr>
        <w:t>„A béketűrés iskolapéldája volt a hívő, jámbor Musza Pál</w:t>
      </w:r>
      <w:r w:rsidRPr="00101B54">
        <w:rPr>
          <w:rFonts w:asciiTheme="majorHAnsi" w:hAnsiTheme="majorHAnsi" w:cstheme="majorHAnsi"/>
          <w:i/>
          <w:szCs w:val="24"/>
          <w:highlight w:val="green"/>
        </w:rPr>
        <w:fldChar w:fldCharType="begin"/>
      </w:r>
      <w:r w:rsidRPr="00101B54">
        <w:rPr>
          <w:rFonts w:asciiTheme="majorHAnsi" w:hAnsiTheme="majorHAnsi" w:cstheme="majorHAnsi"/>
          <w:i/>
          <w:szCs w:val="24"/>
          <w:highlight w:val="green"/>
        </w:rPr>
        <w:instrText xml:space="preserve"> XE "</w:instrText>
      </w:r>
      <w:r w:rsidRPr="00101B54">
        <w:rPr>
          <w:rFonts w:asciiTheme="majorHAnsi" w:hAnsiTheme="majorHAnsi" w:cstheme="majorHAnsi"/>
          <w:szCs w:val="24"/>
          <w:highlight w:val="green"/>
        </w:rPr>
        <w:instrText>Musza Pál"</w:instrText>
      </w:r>
      <w:r w:rsidRPr="00101B54">
        <w:rPr>
          <w:rFonts w:asciiTheme="majorHAnsi" w:hAnsiTheme="majorHAnsi" w:cstheme="majorHAnsi"/>
          <w:i/>
          <w:szCs w:val="24"/>
          <w:highlight w:val="green"/>
        </w:rPr>
        <w:instrText xml:space="preserve"> </w:instrText>
      </w:r>
      <w:r w:rsidRPr="00101B54">
        <w:rPr>
          <w:rFonts w:asciiTheme="majorHAnsi" w:hAnsiTheme="majorHAnsi" w:cstheme="majorHAnsi"/>
          <w:i/>
          <w:szCs w:val="24"/>
          <w:highlight w:val="green"/>
        </w:rPr>
        <w:fldChar w:fldCharType="end"/>
      </w:r>
      <w:r w:rsidRPr="00101B54">
        <w:rPr>
          <w:rFonts w:asciiTheme="majorHAnsi" w:hAnsiTheme="majorHAnsi" w:cstheme="majorHAnsi"/>
          <w:i/>
          <w:szCs w:val="24"/>
        </w:rPr>
        <w:t>, aki mindenkinek megbocsátott, kevés kenyerét szétosztotta éhező bajtársai között, sohasem szitkozódott, még az ÁVH-soknak és a rabhajcsároknak is mentséget keresett. A kőszállítás mellett neki (gúnyból) még a nyakába is kötöttek egy méter hosszú farönköt, amit cipelnie kellett. Az őr bosszankodva rászólt: ‘Miért nem fordul Istenéhez, hogy segítsen magának?’ Musza Pali</w:t>
      </w:r>
      <w:r w:rsidRPr="00101B54">
        <w:rPr>
          <w:rFonts w:asciiTheme="majorHAnsi" w:hAnsiTheme="majorHAnsi" w:cstheme="majorHAnsi"/>
          <w:i/>
          <w:szCs w:val="24"/>
          <w:highlight w:val="green"/>
        </w:rPr>
        <w:fldChar w:fldCharType="begin"/>
      </w:r>
      <w:r w:rsidRPr="00101B54">
        <w:rPr>
          <w:rFonts w:asciiTheme="majorHAnsi" w:hAnsiTheme="majorHAnsi" w:cstheme="majorHAnsi"/>
          <w:i/>
          <w:szCs w:val="24"/>
          <w:highlight w:val="green"/>
        </w:rPr>
        <w:instrText xml:space="preserve"> XE "</w:instrText>
      </w:r>
      <w:r w:rsidRPr="00101B54">
        <w:rPr>
          <w:rFonts w:asciiTheme="majorHAnsi" w:hAnsiTheme="majorHAnsi" w:cstheme="majorHAnsi"/>
          <w:szCs w:val="24"/>
          <w:highlight w:val="green"/>
        </w:rPr>
        <w:instrText>Musza Pál"</w:instrText>
      </w:r>
      <w:r w:rsidRPr="00101B54">
        <w:rPr>
          <w:rFonts w:asciiTheme="majorHAnsi" w:hAnsiTheme="majorHAnsi" w:cstheme="majorHAnsi"/>
          <w:i/>
          <w:szCs w:val="24"/>
          <w:highlight w:val="green"/>
        </w:rPr>
        <w:instrText xml:space="preserve"> </w:instrText>
      </w:r>
      <w:r w:rsidRPr="00101B54">
        <w:rPr>
          <w:rFonts w:asciiTheme="majorHAnsi" w:hAnsiTheme="majorHAnsi" w:cstheme="majorHAnsi"/>
          <w:i/>
          <w:szCs w:val="24"/>
          <w:highlight w:val="green"/>
        </w:rPr>
        <w:fldChar w:fldCharType="end"/>
      </w:r>
      <w:r w:rsidRPr="00101B54">
        <w:rPr>
          <w:rFonts w:asciiTheme="majorHAnsi" w:hAnsiTheme="majorHAnsi" w:cstheme="majorHAnsi"/>
          <w:i/>
          <w:szCs w:val="24"/>
        </w:rPr>
        <w:t xml:space="preserve"> nem válaszolt, tovább tolta a talicskát. Az őr újra szólt: ‘Na, szólt már Istenének?’ Erre se kapott választ, mire az dühében elkezdte fegyelmezni. ‘Állj!’ kiáltotta. ‘Egy lépés hátra’. Hátralépett. ‘Még egy lépés hátra’. Ez is megtörtént. Közvetlenül mögötte volt az általunk épp most kiásott, mély tómeder. Az ÁVH-s újra vezényelt, mire az magával rántotta a taligát a 2 méter mély mederbe. Csodálatos módon nem sérült meg, de a rabhajcsár megijedve odaszaladt, hogy elsősegélyben részesítse. Közben hallotta Pali halk fohászát: ’Bocsánatot kérek, Istenem, hogy egy pillanatig nem hittem benned.’ Felkelt, lerázta magáról a földet, csendesen tovább tolta a taligát. Élmény volt látni az őr megdöbbent, csodálkozó tekintetét. Ettől kezdve többé nem zaklatta Musza Palit</w:t>
      </w:r>
      <w:r w:rsidRPr="00101B54">
        <w:rPr>
          <w:rFonts w:asciiTheme="majorHAnsi" w:hAnsiTheme="majorHAnsi" w:cstheme="majorHAnsi"/>
          <w:i/>
          <w:szCs w:val="24"/>
          <w:highlight w:val="green"/>
        </w:rPr>
        <w:fldChar w:fldCharType="begin"/>
      </w:r>
      <w:r w:rsidRPr="00101B54">
        <w:rPr>
          <w:rFonts w:asciiTheme="majorHAnsi" w:hAnsiTheme="majorHAnsi" w:cstheme="majorHAnsi"/>
          <w:i/>
          <w:szCs w:val="24"/>
          <w:highlight w:val="green"/>
        </w:rPr>
        <w:instrText xml:space="preserve"> XE "</w:instrText>
      </w:r>
      <w:r w:rsidRPr="00101B54">
        <w:rPr>
          <w:rFonts w:asciiTheme="majorHAnsi" w:hAnsiTheme="majorHAnsi" w:cstheme="majorHAnsi"/>
          <w:szCs w:val="24"/>
          <w:highlight w:val="green"/>
        </w:rPr>
        <w:instrText>Musza Pál"</w:instrText>
      </w:r>
      <w:r w:rsidRPr="00101B54">
        <w:rPr>
          <w:rFonts w:asciiTheme="majorHAnsi" w:hAnsiTheme="majorHAnsi" w:cstheme="majorHAnsi"/>
          <w:i/>
          <w:szCs w:val="24"/>
          <w:highlight w:val="green"/>
        </w:rPr>
        <w:instrText xml:space="preserve"> </w:instrText>
      </w:r>
      <w:r w:rsidRPr="00101B54">
        <w:rPr>
          <w:rFonts w:asciiTheme="majorHAnsi" w:hAnsiTheme="majorHAnsi" w:cstheme="majorHAnsi"/>
          <w:i/>
          <w:szCs w:val="24"/>
          <w:highlight w:val="green"/>
        </w:rPr>
        <w:fldChar w:fldCharType="end"/>
      </w:r>
      <w:r w:rsidRPr="00101B54">
        <w:rPr>
          <w:rFonts w:asciiTheme="majorHAnsi" w:hAnsiTheme="majorHAnsi" w:cstheme="majorHAnsi"/>
          <w:i/>
          <w:szCs w:val="24"/>
        </w:rPr>
        <w:t>.”</w:t>
      </w:r>
    </w:p>
    <w:p w14:paraId="5B2C8067" w14:textId="77777777" w:rsidR="00662C6E" w:rsidRPr="00101B54" w:rsidRDefault="00662C6E" w:rsidP="00662C6E">
      <w:pPr>
        <w:autoSpaceDE w:val="0"/>
        <w:autoSpaceDN w:val="0"/>
        <w:adjustRightInd w:val="0"/>
        <w:jc w:val="both"/>
        <w:rPr>
          <w:rFonts w:asciiTheme="majorHAnsi" w:hAnsiTheme="majorHAnsi" w:cstheme="majorHAnsi"/>
          <w:b/>
          <w:i/>
          <w:szCs w:val="24"/>
          <w:u w:val="single"/>
        </w:rPr>
      </w:pPr>
      <w:r w:rsidRPr="00101B54">
        <w:rPr>
          <w:rFonts w:asciiTheme="majorHAnsi" w:hAnsiTheme="majorHAnsi" w:cstheme="majorHAnsi"/>
          <w:b/>
          <w:i/>
          <w:szCs w:val="24"/>
          <w:u w:val="single"/>
        </w:rPr>
        <w:t xml:space="preserve"> </w:t>
      </w:r>
    </w:p>
    <w:p w14:paraId="5546D71E" w14:textId="77777777" w:rsidR="00662C6E" w:rsidRPr="00101B54" w:rsidRDefault="00662C6E" w:rsidP="00662C6E">
      <w:pPr>
        <w:autoSpaceDE w:val="0"/>
        <w:autoSpaceDN w:val="0"/>
        <w:adjustRightInd w:val="0"/>
        <w:ind w:firstLine="720"/>
        <w:jc w:val="both"/>
        <w:rPr>
          <w:rFonts w:asciiTheme="majorHAnsi" w:hAnsiTheme="majorHAnsi" w:cstheme="majorHAnsi"/>
          <w:szCs w:val="24"/>
        </w:rPr>
      </w:pPr>
      <w:r w:rsidRPr="00101B54">
        <w:rPr>
          <w:rFonts w:asciiTheme="majorHAnsi" w:hAnsiTheme="majorHAnsi" w:cstheme="majorHAnsi"/>
          <w:szCs w:val="24"/>
        </w:rPr>
        <w:t xml:space="preserve">Pócspetriben a katolikus lakosság a községháza elé ment, hogy tüntessen a katolikus iskolák elvétele ellen. Megtorlásul halálra ítélték a plébánost, és a katolikus jegyzőt. Az utóbbit ki is végezték. A katolikus tanítót életfogytiglani börtönnel sújtották, 2 földművest 10-12 évre elítéltek. Dr. Tóth László világi újságírót a Mindszenty-perben ítélték 10 évi börtönre, a váci börtön kínoztatásai között halt meg 1951-ben, sírhelye máig ismeretlen. Ebben a perben ítélték el Nagy Miklóst is, az Actio Catholica titkárát: 3 évet kapott. 1948 júniusában már 10, illetve 6 évi börtönre ítélték. Kárpátalján a magyar világi vértanúk közé tartozik Dr. Eszterházy János mélyen hívő katolikus politikus, aki 1938-ban Szlovákia első függetlenné válása után az egyetlen tagja volt a parlamentnek, aki nem szavazta meg a zsidók jogfosztásáról szóló törvényjavaslatot. Sokféleképpen közreműködött az üldözöttek védelmében. A hatalomra került liberális-kommunista kormány ellenségként tekintett a magyarokra, és őt a moszkvai börtönbe szállíttatták. 12 évi börtönélete után embertelen körülmények közepette halt meg ’57-ben, a hitbe gyökerezetten, másokban is a hitet erősítve. ’56 után Kádár János megkezdte a sortüzeket, s kivégezte azokat, akikkel a forradalom idején együttműködött. </w:t>
      </w:r>
    </w:p>
    <w:p w14:paraId="19B782BA" w14:textId="77777777" w:rsidR="00662C6E" w:rsidRPr="00101B54" w:rsidRDefault="00662C6E" w:rsidP="00662C6E">
      <w:pPr>
        <w:autoSpaceDE w:val="0"/>
        <w:autoSpaceDN w:val="0"/>
        <w:adjustRightInd w:val="0"/>
        <w:ind w:firstLine="720"/>
        <w:jc w:val="both"/>
        <w:rPr>
          <w:rFonts w:asciiTheme="majorHAnsi" w:hAnsiTheme="majorHAnsi" w:cstheme="majorHAnsi"/>
          <w:szCs w:val="24"/>
        </w:rPr>
      </w:pPr>
      <w:r w:rsidRPr="00101B54">
        <w:rPr>
          <w:rFonts w:asciiTheme="majorHAnsi" w:hAnsiTheme="majorHAnsi" w:cstheme="majorHAnsi"/>
          <w:szCs w:val="24"/>
        </w:rPr>
        <w:t xml:space="preserve"> Az állam 1949-ben megszüntette az egyesületeket, a plébániákon tilos volt az ifjúsággal, felnőttekkel való mélyebb foglalkozásra. Ennek ellenére a kis közösségek titokban éltek Magyarországon. Különösen a ’60-as években virágoztak fel, az üldözés csak provokálta ezek születését. 1961. február 6-án mintegy 800 lakásban tartott házkutatást a rendőrség, 100 papot és világit vettek előzetes letartóztatásba. Utána pedig egy nagy per következtében a fő vádlottakat az ifjúsággal foglalkozó csoportokból válogatták össze. A Regnum Marianum ifjúsággal foglalkozó közösség papi vezetői közül 7 atyát ítélet 3-7 év börtönre. A bírósági tárgyalás egyedülálló módon zajlott, a regnumos fiatalok a vádlottak padját felvirágozták a tárgyalás előtt, és amikor ezeket a fiatalokat behívták tanúskodni papjaik ellen, azok mind „Jó napot!”-tal köszöntek a bíróságnak, a vádlottak felé meghajolva pedig „Laudetur Iesus Christus”-szal. 1961 júniusában 10 szentimrevárosi katolikus világi ifjúsági vezető pere zajlott, 10 személyt ítéltek 1,5-5 évig tartó börtönre. Körmendy Szilveszter az egyik ifjúsági vezető így vall arról, hogy miért csatlakozott a szentimrevárosiakhoz: „Mentem, mert akartam valamit csinálni ezért az Országért, s rögtön tudtam, hogy ebből börtön lesz, s akkor már volt három gyermekem”. Herbán Ferenc pedig elmondja, hogy egyetemistaként elment gyónni Barlay atyához, aki egy alkalommal neki szegezte a kérdést: „Jézust kellene elvinni a fiatalokhoz. Vállalnád-e?” „Azt hiszem erre csak igennel lehetett felelni. Ettől kezdve nekem is volt egy 5 fős csoportom ötödikesekből”. Együttesen ’60-61 februárja között Fekete Hollók néven számon tartott egyházellenes támadás során közel 1000 lakásban tartottak házkutatást, 800 személyt vettek őrizetbe, 85 személyt letartóztattak, ebből 22 pap, 25 szerzetes, 38 világi. 76 főt ítéltek el 1-12 évig terjedő büntetésre. 34-et elbocsátottak állásukból, 21 egyetemi hallgatót kitiltottak az egyetemről. A letartóztatások 1972-ig tartottak. </w:t>
      </w:r>
    </w:p>
    <w:p w14:paraId="301ED178" w14:textId="77777777" w:rsidR="00662C6E" w:rsidRPr="00101B54" w:rsidRDefault="00662C6E" w:rsidP="00662C6E">
      <w:pPr>
        <w:autoSpaceDE w:val="0"/>
        <w:autoSpaceDN w:val="0"/>
        <w:adjustRightInd w:val="0"/>
        <w:jc w:val="both"/>
        <w:rPr>
          <w:rFonts w:asciiTheme="majorHAnsi" w:hAnsiTheme="majorHAnsi" w:cstheme="majorHAnsi"/>
          <w:szCs w:val="24"/>
        </w:rPr>
      </w:pPr>
      <w:r w:rsidRPr="00101B54">
        <w:rPr>
          <w:rFonts w:asciiTheme="majorHAnsi" w:hAnsiTheme="majorHAnsi" w:cstheme="majorHAnsi"/>
          <w:szCs w:val="24"/>
        </w:rPr>
        <w:t xml:space="preserve">A ’70-es években az egyházüldözés már nem véres eszközökkel zajlott, de annál alattomosabban. Rendelkezés volt, hogy a hittan nem vihető át a plébániára vagy más egyházi épületbe (kivéve templom), </w:t>
      </w:r>
      <w:r w:rsidRPr="00101B54">
        <w:rPr>
          <w:rFonts w:asciiTheme="majorHAnsi" w:hAnsiTheme="majorHAnsi" w:cstheme="majorHAnsi"/>
          <w:szCs w:val="24"/>
        </w:rPr>
        <w:lastRenderedPageBreak/>
        <w:t xml:space="preserve">csakis általános iskolásokkal való foglalkozás volt engedélyezett. Nagyobb ifjúsággal való foglalkozás szóba se jöhetett. Ez általános tiltakozást váltott ki külföldön is. Minden eszközzel akarták akadályozni a hittanra való beíratást. A plébániai hittan továbbra is a diktatúra szellemiségében történhetett. A plébániai hitoktatók jegyzékét a püspöki kar elnökének kellett felterjeszteni, aki átküldte az ÁEH-ba, hogy megvizsgálja a személyek alkalmasságát. </w:t>
      </w:r>
    </w:p>
    <w:p w14:paraId="2956AF67" w14:textId="77777777" w:rsidR="00662C6E" w:rsidRPr="00101B54" w:rsidRDefault="00662C6E" w:rsidP="00662C6E">
      <w:pPr>
        <w:autoSpaceDE w:val="0"/>
        <w:autoSpaceDN w:val="0"/>
        <w:adjustRightInd w:val="0"/>
        <w:ind w:firstLine="720"/>
        <w:jc w:val="both"/>
        <w:rPr>
          <w:rFonts w:asciiTheme="majorHAnsi" w:hAnsiTheme="majorHAnsi" w:cstheme="majorHAnsi"/>
          <w:szCs w:val="24"/>
        </w:rPr>
      </w:pPr>
      <w:r w:rsidRPr="00101B54">
        <w:rPr>
          <w:rFonts w:asciiTheme="majorHAnsi" w:hAnsiTheme="majorHAnsi" w:cstheme="majorHAnsi"/>
          <w:szCs w:val="24"/>
        </w:rPr>
        <w:t xml:space="preserve">A ’80-as évek elején egy katolikus kis közösségek elleni pert terveztek „Varjak” álnév alatt. Számos csoport elsősorban a Bokor közösségben, mások a Nagymarosban érdekeltek, lelkiségi csoportok, a Regnum, Fokoláre, stb… több közösségvezető pap és világi fel volt térképezve, a Belügyminisztérium csak a pártvezetőség döntésére várt, hogy ha kell, induljanak a házkutatások és ítéletek. Valószínűleg a világpolitikai helyzet akadályozta meg ezeket az eljárásokat. A vallásos pedagógusokat többször hívatták be az igazgatók, olykor eltávolítással is fenyegetve őket, mert templomba járnak. Diákjaikat az egyetemi felvételi előtt „jóindulatú” tanáraik ismételten biztatták, hogy ne járjanak templomba, mert ez akadályozhatja, hogy ajánlják őket az egyetemre. A megfigyelések kiterjedtek a templomba járó diákok személyére is. Pl. az Egri Bazilikában tartott hittanok után a rendőrautó 1987-ig rendszeresen ott állt a bazilikával szemben. Legalább egy-egy reflektorozással jelezték, hogy ott vannak. </w:t>
      </w:r>
    </w:p>
    <w:p w14:paraId="7D93CED7" w14:textId="77777777" w:rsidR="00662C6E" w:rsidRPr="00101B54" w:rsidRDefault="00662C6E" w:rsidP="00662C6E">
      <w:pPr>
        <w:autoSpaceDE w:val="0"/>
        <w:autoSpaceDN w:val="0"/>
        <w:adjustRightInd w:val="0"/>
        <w:jc w:val="both"/>
        <w:rPr>
          <w:rFonts w:asciiTheme="majorHAnsi" w:hAnsiTheme="majorHAnsi" w:cstheme="majorHAnsi"/>
          <w:szCs w:val="24"/>
        </w:rPr>
      </w:pPr>
      <w:r w:rsidRPr="00101B54">
        <w:rPr>
          <w:rFonts w:asciiTheme="majorHAnsi" w:hAnsiTheme="majorHAnsi" w:cstheme="majorHAnsi"/>
          <w:szCs w:val="24"/>
        </w:rPr>
        <w:t>1986-ban egy jelentés leírja, hogyan kell megfigyelni több papnak az ifjúsági munkáját. „Feladatok: biztosítjuk a célszemélyek hazai és külföldi kapcsolatainak szoros ellenőrzését, adatokat szerzünk az összejövetelek jellegéről, tartalmáról. Ellenőrizzük a különböző csoportok bázisszélesítő törekvéseit, intézkedéseket teszünk a csoportok között zavarkeltés, bizalmatlanság szításának céljából.” Beépített emberekkel, belső bomlasztókkal próbálták tönkretenni a kisközösségeket.</w:t>
      </w:r>
    </w:p>
    <w:p w14:paraId="2A7318CD" w14:textId="77777777" w:rsidR="00662C6E" w:rsidRPr="00101B54" w:rsidRDefault="00662C6E" w:rsidP="00662C6E">
      <w:pPr>
        <w:autoSpaceDE w:val="0"/>
        <w:autoSpaceDN w:val="0"/>
        <w:adjustRightInd w:val="0"/>
        <w:ind w:firstLine="720"/>
        <w:jc w:val="both"/>
        <w:rPr>
          <w:rFonts w:asciiTheme="majorHAnsi" w:hAnsiTheme="majorHAnsi" w:cstheme="majorHAnsi"/>
          <w:szCs w:val="24"/>
        </w:rPr>
      </w:pPr>
      <w:r w:rsidRPr="00101B54">
        <w:rPr>
          <w:rFonts w:asciiTheme="majorHAnsi" w:hAnsiTheme="majorHAnsi" w:cstheme="majorHAnsi"/>
          <w:szCs w:val="24"/>
        </w:rPr>
        <w:t xml:space="preserve">A ’70-es években az állami előírás következtében a templomi hitoktatás, a hittanok ellenőrzése az iskolaigazgatók feladata. Ez szintén nemzetközi felháborodást váltott ki. A propaganda következtében 1988-ban a hittanra beíratottak száma már csak 3,1 %. ’49-50-ben az általános iskolások 80%-a, ’55-ben 40 %-a, ’60-ban 25 %-a, ’65-ben 10 %-a, ’75-ben 7 %-a, ’80-ban 4,3 %-a, ’85-ben 3,4 %-a volt beíratva hittanra. A beíratáson sok helyen ott ült az igazgató, és közben próbálták lebeszélni a szülőket, hogy káros lesz a munkahelyen, fizetésemelést csak az államhoz hű személyek kaphatnak, emiatt nem fogják felvenni a gyermeket felsőoktatásba. Nehéz volt a gyermekek helyzete, akik a hittan előtti órán azt hallották pl. a fizika tanárjuktól, hogy a vallás tudománytalan, és utána a tanár szeme láttára kellett jönniük hittanra. Egyszer egy fizikaórán a tanár vallásellenes megjegyzéseire a gyermekek bátran válaszoltak: „De hiszen a legnagyobb tudósok is vallásosak voltak.” „Kiről gondoljátok ezt?” És ők elsorolták a legnagyobb természettudósok neveit. Születtek ilyen hitvalló gyermekek is az üldözés során. Egy hajdúsági iskolában az igazgató azt parancsolta az előző napon megbérmáltaknak, hogy társaik gúnya közepette békaügetésben ugrálják körül az iskolaudvart. Hittan idején kellett elvinni a gyermekeket valamilyen más foglalkozásra vagy választás elé állította őket, hogy inkább ingyenes moziba akarnak-e menni vagy hittanra. A tanyasi tízéves gyermekek egyhangúan kiáltották: „Inkább hittanra megyünk!” Persze nem minden gyerek volt ilyen hitvalló. </w:t>
      </w:r>
    </w:p>
    <w:p w14:paraId="1C8B2C58" w14:textId="77777777" w:rsidR="00662C6E" w:rsidRPr="00101B54" w:rsidRDefault="00662C6E" w:rsidP="00662C6E">
      <w:pPr>
        <w:autoSpaceDE w:val="0"/>
        <w:autoSpaceDN w:val="0"/>
        <w:adjustRightInd w:val="0"/>
        <w:jc w:val="both"/>
        <w:rPr>
          <w:rFonts w:asciiTheme="majorHAnsi" w:hAnsiTheme="majorHAnsi" w:cstheme="majorHAnsi"/>
          <w:szCs w:val="24"/>
        </w:rPr>
      </w:pPr>
    </w:p>
    <w:p w14:paraId="2230E478" w14:textId="77777777" w:rsidR="00662C6E" w:rsidRPr="00101B54" w:rsidRDefault="00662C6E" w:rsidP="00662C6E">
      <w:pPr>
        <w:autoSpaceDE w:val="0"/>
        <w:autoSpaceDN w:val="0"/>
        <w:adjustRightInd w:val="0"/>
        <w:jc w:val="both"/>
        <w:rPr>
          <w:rFonts w:asciiTheme="majorHAnsi" w:hAnsiTheme="majorHAnsi" w:cstheme="majorHAnsi"/>
          <w:szCs w:val="24"/>
        </w:rPr>
      </w:pPr>
      <w:r w:rsidRPr="00101B54">
        <w:rPr>
          <w:rFonts w:asciiTheme="majorHAnsi" w:hAnsiTheme="majorHAnsi" w:cstheme="majorHAnsi"/>
          <w:b/>
          <w:szCs w:val="24"/>
          <w:u w:val="single"/>
        </w:rPr>
        <w:t>Kérdések:</w:t>
      </w:r>
      <w:r w:rsidRPr="00101B54">
        <w:rPr>
          <w:rFonts w:asciiTheme="majorHAnsi" w:hAnsiTheme="majorHAnsi" w:cstheme="majorHAnsi"/>
          <w:szCs w:val="24"/>
        </w:rPr>
        <w:t xml:space="preserve"> Hallottad-e már ezt a mondatot: hinni csak a templomban kell? Mi a véleményed róla? (a kör végén tisztázni kell, hogy ez a mondat a kommunista propaganda része volt). A fehér vértanúság szerinted kiknek való? (tisztázni, hogy minden megkeresztelt királyi papi „kötelessége”, hogy áldozatok árán is kiálljon hite mellett). Ahhoz, hogy erősödjék a hitem, azt kellene megtennem…/arra lenne szükség… Fejezd be a mondatot.</w:t>
      </w:r>
    </w:p>
    <w:p w14:paraId="48B9816C" w14:textId="77777777" w:rsidR="00662C6E" w:rsidRPr="00101B54" w:rsidRDefault="00662C6E" w:rsidP="00662C6E">
      <w:pPr>
        <w:autoSpaceDE w:val="0"/>
        <w:autoSpaceDN w:val="0"/>
        <w:adjustRightInd w:val="0"/>
        <w:jc w:val="both"/>
        <w:rPr>
          <w:rFonts w:asciiTheme="majorHAnsi" w:hAnsiTheme="majorHAnsi" w:cstheme="majorHAnsi"/>
          <w:szCs w:val="24"/>
        </w:rPr>
      </w:pPr>
    </w:p>
    <w:p w14:paraId="0FA6DE0F" w14:textId="77777777" w:rsidR="00662C6E" w:rsidRPr="00101B54" w:rsidRDefault="00662C6E" w:rsidP="00662C6E">
      <w:pPr>
        <w:autoSpaceDE w:val="0"/>
        <w:autoSpaceDN w:val="0"/>
        <w:adjustRightInd w:val="0"/>
        <w:jc w:val="both"/>
        <w:rPr>
          <w:rFonts w:asciiTheme="majorHAnsi" w:hAnsiTheme="majorHAnsi" w:cstheme="majorHAnsi"/>
          <w:b/>
          <w:i/>
          <w:szCs w:val="24"/>
        </w:rPr>
      </w:pPr>
      <w:r w:rsidRPr="00101B54">
        <w:rPr>
          <w:rFonts w:asciiTheme="majorHAnsi" w:hAnsiTheme="majorHAnsi" w:cstheme="majorHAnsi"/>
          <w:b/>
          <w:i/>
          <w:szCs w:val="24"/>
        </w:rPr>
        <w:t>Az előadás után két választható műhelyen ismerkedhetnek a résztvevők Sándor István és Bódi Mária Magdolna királyi papi vértanúk életével. Lásd. mellékletek!</w:t>
      </w:r>
    </w:p>
    <w:p w14:paraId="0D9B927E" w14:textId="6F9F2867" w:rsidR="009C1D07" w:rsidRPr="00101B54" w:rsidRDefault="009C1D07" w:rsidP="00B66586">
      <w:pPr>
        <w:pStyle w:val="kincstrcmsor"/>
        <w:rPr>
          <w:rFonts w:asciiTheme="majorHAnsi" w:hAnsiTheme="majorHAnsi" w:cstheme="majorHAnsi"/>
        </w:rPr>
      </w:pPr>
    </w:p>
    <w:p w14:paraId="244FAA57" w14:textId="77777777" w:rsidR="00B66586" w:rsidRPr="00101B54" w:rsidRDefault="00B66586" w:rsidP="00B66586">
      <w:pPr>
        <w:pStyle w:val="kincstrcmsor"/>
        <w:rPr>
          <w:rFonts w:asciiTheme="majorHAnsi" w:hAnsiTheme="majorHAnsi" w:cstheme="majorHAnsi"/>
        </w:rPr>
      </w:pPr>
      <w:r w:rsidRPr="00101B54">
        <w:rPr>
          <w:rFonts w:asciiTheme="majorHAnsi" w:hAnsiTheme="majorHAnsi" w:cstheme="majorHAnsi"/>
        </w:rPr>
        <w:t xml:space="preserve">Eszközigény: </w:t>
      </w:r>
    </w:p>
    <w:bookmarkEnd w:id="0"/>
    <w:p w14:paraId="1F4698C9" w14:textId="77777777" w:rsidR="00B66586" w:rsidRPr="00101B54" w:rsidRDefault="00B66586" w:rsidP="00A93E24">
      <w:pPr>
        <w:rPr>
          <w:rFonts w:asciiTheme="majorHAnsi" w:hAnsiTheme="majorHAnsi" w:cstheme="majorHAnsi"/>
          <w:szCs w:val="24"/>
        </w:rPr>
      </w:pPr>
    </w:p>
    <w:sectPr w:rsidR="00B66586" w:rsidRPr="00101B54"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5379" w14:textId="77777777" w:rsidR="00D27963" w:rsidRDefault="00D27963" w:rsidP="00DC5291">
      <w:r>
        <w:separator/>
      </w:r>
    </w:p>
  </w:endnote>
  <w:endnote w:type="continuationSeparator" w:id="0">
    <w:p w14:paraId="2FE83606" w14:textId="77777777" w:rsidR="00D27963" w:rsidRDefault="00D2796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19BE3A7" w:rsidR="00482C29" w:rsidRDefault="00482C29">
        <w:pPr>
          <w:pStyle w:val="llb"/>
          <w:jc w:val="right"/>
        </w:pPr>
        <w:r>
          <w:fldChar w:fldCharType="begin"/>
        </w:r>
        <w:r>
          <w:instrText>PAGE   \* MERGEFORMAT</w:instrText>
        </w:r>
        <w:r>
          <w:fldChar w:fldCharType="separate"/>
        </w:r>
        <w:r w:rsidR="00137CB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AA641" w14:textId="77777777" w:rsidR="00D27963" w:rsidRDefault="00D27963" w:rsidP="00DC5291">
      <w:r>
        <w:separator/>
      </w:r>
    </w:p>
  </w:footnote>
  <w:footnote w:type="continuationSeparator" w:id="0">
    <w:p w14:paraId="0BE0B89E" w14:textId="77777777" w:rsidR="00D27963" w:rsidRDefault="00D2796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01B54"/>
    <w:rsid w:val="00137CBC"/>
    <w:rsid w:val="001D7A4E"/>
    <w:rsid w:val="001E4D6C"/>
    <w:rsid w:val="002411E9"/>
    <w:rsid w:val="00261B0F"/>
    <w:rsid w:val="00291D68"/>
    <w:rsid w:val="002A3124"/>
    <w:rsid w:val="002D558E"/>
    <w:rsid w:val="00305BDF"/>
    <w:rsid w:val="00393341"/>
    <w:rsid w:val="00482C29"/>
    <w:rsid w:val="00492C2B"/>
    <w:rsid w:val="005668BF"/>
    <w:rsid w:val="0057084B"/>
    <w:rsid w:val="00597783"/>
    <w:rsid w:val="005A307F"/>
    <w:rsid w:val="005C0F32"/>
    <w:rsid w:val="00600282"/>
    <w:rsid w:val="00643D20"/>
    <w:rsid w:val="00662C6E"/>
    <w:rsid w:val="006E7EFB"/>
    <w:rsid w:val="00734543"/>
    <w:rsid w:val="007439F0"/>
    <w:rsid w:val="00753933"/>
    <w:rsid w:val="00804290"/>
    <w:rsid w:val="00810A66"/>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27963"/>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DE5934"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DE5934"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DE5934"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34690"/>
    <w:rsid w:val="006C4E21"/>
    <w:rsid w:val="00715B58"/>
    <w:rsid w:val="009D17C5"/>
    <w:rsid w:val="00A417B3"/>
    <w:rsid w:val="00A834DB"/>
    <w:rsid w:val="00A843D6"/>
    <w:rsid w:val="00AA063D"/>
    <w:rsid w:val="00DE593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0BE5-7243-4940-A4F9-13260C4E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2595</Words>
  <Characters>14796</Characters>
  <Application>Microsoft Office Word</Application>
  <DocSecurity>0</DocSecurity>
  <Lines>123</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2020-03-28T20:49:00Z</dcterms:created>
  <dcterms:modified xsi:type="dcterms:W3CDTF">2020-03-28T20:49:00Z</dcterms:modified>
</cp:coreProperties>
</file>